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485-6k_tiziana.htm"/>
      <w:bookmarkStart w:id="1" w:name="ksea03004856k_tiziana"/>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2026</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9</w:t>
      </w:r>
      <w:r>
        <w:rPr>
          <w:rFonts w:ascii="Times New Roman;Times;Serif" w:hAnsi="Times New Roman;Times;Serif"/>
          <w:b/>
          <w:i w:val="false"/>
          <w:caps w:val="false"/>
          <w:smallCaps w:val="false"/>
          <w:color w:val="202124"/>
          <w:position w:val="7"/>
          <w:sz w:val="16"/>
          <w:sz w:val="20"/>
          <w:shd w:fill="FFFFFF" w:val="clear"/>
        </w:rPr>
        <w:t>th</w:t>
      </w:r>
      <w:r>
        <w:rPr>
          <w:rFonts w:ascii="Times New Roman;Times;Serif" w:hAnsi="Times New Roman;Times;Serif"/>
          <w:b/>
          <w:i w:val="false"/>
          <w:caps w:val="false"/>
          <w:smallCaps w:val="false"/>
          <w:color w:val="202124"/>
          <w:sz w:val="20"/>
          <w:shd w:fill="FFFFFF" w:val="clear"/>
        </w:rPr>
        <w:t> Floor</w:t>
      </w:r>
    </w:p>
    <w:p>
      <w:pPr>
        <w:pStyle w:val="TextBody"/>
        <w:bidi w:val="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107 Cheapside</w:t>
      </w:r>
    </w:p>
    <w:p>
      <w:pPr>
        <w:pStyle w:val="TextBody"/>
        <w:bidi w:val="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 xml:space="preserve">London </w:t>
      </w:r>
    </w:p>
    <w:p>
      <w:pPr>
        <w:pStyle w:val="TextBody"/>
        <w:bidi w:val="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EC2V 6DN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its Chief Executive Officer, Ivor Elrifi has increased his holdings with the purchase of 667,000 of the Company’s common shares on NASDAQ at $1.00 per share, bringing his total holding to 4,472,261 common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1760"/>
        <w:gridCol w:w="327"/>
        <w:gridCol w:w="557"/>
        <w:gridCol w:w="1939"/>
      </w:tblGrid>
      <w:tr>
        <w:trPr/>
        <w:tc>
          <w:tcPr>
            <w:tcW w:w="1760" w:type="dxa"/>
            <w:tcBorders/>
            <w:vAlign w:val="center"/>
          </w:tcPr>
          <w:p>
            <w:pPr>
              <w:pStyle w:val="TableContents"/>
              <w:bidi w:val="0"/>
              <w:spacing w:before="0" w:after="283"/>
              <w:jc w:val="left"/>
              <w:rPr/>
            </w:pPr>
            <w:r>
              <w:rPr/>
              <w:t> </w:t>
            </w:r>
          </w:p>
        </w:tc>
        <w:tc>
          <w:tcPr>
            <w:tcW w:w="282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TIZIANA LIFE SCIENCES LTD</w:t>
            </w:r>
          </w:p>
        </w:tc>
      </w:tr>
      <w:tr>
        <w:trPr/>
        <w:tc>
          <w:tcPr>
            <w:tcW w:w="17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Keeren Shah</w:t>
            </w:r>
          </w:p>
        </w:tc>
      </w:tr>
      <w:tr>
        <w:trPr/>
        <w:tc>
          <w:tcPr>
            <w:tcW w:w="17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Keeren Shah</w:t>
            </w:r>
          </w:p>
        </w:tc>
      </w:tr>
      <w:tr>
        <w:trPr/>
        <w:tc>
          <w:tcPr>
            <w:tcW w:w="17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28" w:type="dxa"/>
          <w:right w:w="0" w:type="dxa"/>
        </w:tblCellMar>
      </w:tblPr>
      <w:tblGrid>
        <w:gridCol w:w="995"/>
        <w:gridCol w:w="60"/>
        <w:gridCol w:w="5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50" w:type="dxa"/>
            <w:tcBorders/>
            <w:shd w:fill="CCEEFF" w:val="clear"/>
            <w:tcMar>
              <w:bottom w:w="0" w:type="dxa"/>
            </w:tcMar>
            <w:vAlign w:val="center"/>
          </w:tcPr>
          <w:p>
            <w:pPr>
              <w:pStyle w:val="TableContents"/>
              <w:bidi w:val="0"/>
              <w:spacing w:before="0" w:after="283"/>
              <w:jc w:val="left"/>
              <w:rPr/>
            </w:pPr>
            <w:hyperlink w:anchor="ea030048501ex99-1.htm">
              <w:r>
                <w:rPr>
                  <w:rStyle w:val="InternetLink"/>
                  <w:rFonts w:ascii="Times New Roman;Times;Serif" w:hAnsi="Times New Roman;Times;Serif"/>
                  <w:sz w:val="20"/>
                </w:rPr>
                <w:t>Tiziana Life Sciences LTD Press Release, dated August 4, 2026</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left"/>
        <w:rPr>
          <w:caps w:val="false"/>
          <w:smallCaps w:val="false"/>
        </w:rPr>
      </w:pPr>
      <w:r>
        <w:rPr>
          <w:caps w:val="false"/>
          <w:smallCaps w:val="false"/>
        </w:rPr>
        <w:t> </w:t>
      </w:r>
    </w:p>
    <w:p>
      <w:pPr>
        <w:pStyle w:val="TextBody"/>
        <w:bidi w:val="0"/>
        <w:jc w:val="right"/>
        <w:rPr>
          <w:b/>
        </w:rPr>
      </w:pPr>
      <w:bookmarkStart w:id="2" w:name="ea030048501ex99-1.htm"/>
      <w:bookmarkStart w:id="3" w:name="ksea030048501ex991"/>
      <w:bookmarkEnd w:id="2"/>
      <w:bookmarkEnd w:id="3"/>
      <w:r>
        <w:rPr>
          <w:b/>
        </w:rPr>
        <w:t>Exhibit 99.1</w:t>
      </w:r>
      <w:r>
        <w:br w:type="page"/>
      </w:r>
    </w:p>
    <w:p>
      <w:pPr>
        <w:pStyle w:val="TextBody"/>
        <w:bidi w:val="0"/>
        <w:jc w:val="right"/>
        <w:rPr/>
      </w:pPr>
      <w:r>
        <w:rPr/>
        <w:t> </w:t>
      </w:r>
    </w:p>
    <w:p>
      <w:pPr>
        <w:pStyle w:val="TextBody"/>
        <w:bidi w:val="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Announces Purchase of Shares by Chief Executive Officer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August 4,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announces that its Chief Executive Officer, Ivor Elrifi has increased his holdings with the purchase of 667,000 of the Company’s common shares on NASDAQ at $1.00 per share, bringing his total holding to 4,472,261 common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4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https://www.pnas.org/doi/10.1073/pnas.2220272120</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4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670</Words>
  <Characters>4000</Characters>
  <CharactersWithSpaces>4687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