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920" w:right="1120" w:hanging="2794"/>
        <w:spacing w:after="0" w:line="500" w:lineRule="auto"/>
        <w:tabs>
          <w:tab w:leader="none" w:pos="1328"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940" w:hanging="214"/>
        <w:spacing w:after="0"/>
        <w:tabs>
          <w:tab w:leader="none" w:pos="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001-38723</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color w:val="auto"/>
        </w:rPr>
        <w:t>Clarendon House,</w:t>
      </w:r>
    </w:p>
    <w:p>
      <w:pPr>
        <w:spacing w:after="0" w:line="2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2 Church Street,</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color w:val="auto"/>
        </w:rPr>
        <w:t>Hamilton HM 11,</w:t>
      </w:r>
    </w:p>
    <w:p>
      <w:pPr>
        <w:spacing w:after="0" w:line="9"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color w:val="auto"/>
        </w:rPr>
        <w:t>Bermuda</w:t>
      </w:r>
    </w:p>
    <w:p>
      <w:pPr>
        <w:spacing w:after="0" w:line="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Keeren Shah</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Operating and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14-15 Conduit Street, LondonW1S 2XJ 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+44 20 7495 2379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kshah@tizianalifesciences.com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to:</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 Lukins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Orrick, Herrington &amp; Sutcliffe (UK)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107 Cheapside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EC2V 6DN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Rosenthal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Anna TomczykDechert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Bryant Park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1095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10036-6797</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TLSA</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or to be registered pursuant to Section 12(g) of the Act: </w:t>
      </w:r>
      <w:r>
        <w:rPr>
          <w:rFonts w:ascii="Times New Roman" w:cs="Times New Roman" w:eastAsia="Times New Roman" w:hAnsi="Times New Roman"/>
          <w:sz w:val="18"/>
          <w:szCs w:val="18"/>
          <w:b w:val="1"/>
          <w:bCs w:val="1"/>
          <w:color w:val="auto"/>
        </w:rPr>
        <w:t>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for which there is a reporting obligation pursuant to Section 15(d)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613"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Number of outstanding shares of each of the issuer’s classes of capital or common stock as of December 31, 2025: 120,507,401 common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0"/>
          <w:szCs w:val="20"/>
          <w:color w:val="auto"/>
        </w:rPr>
      </w:pPr>
    </w:p>
    <w:p>
      <w:pPr>
        <w:ind w:left="102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 (d) of the Securities Exchange Act of 1934.</w:t>
      </w:r>
    </w:p>
    <w:p>
      <w:pPr>
        <w:spacing w:after="0" w:line="121" w:lineRule="exact"/>
        <w:rPr>
          <w:sz w:val="20"/>
          <w:szCs w:val="20"/>
          <w:color w:val="auto"/>
        </w:rPr>
      </w:pPr>
    </w:p>
    <w:p>
      <w:pPr>
        <w:ind w:left="102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0"/>
          <w:szCs w:val="20"/>
          <w:color w:val="auto"/>
        </w:rPr>
      </w:pPr>
    </w:p>
    <w:p>
      <w:pPr>
        <w:ind w:left="102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0"/>
          <w:szCs w:val="20"/>
          <w:color w:val="auto"/>
        </w:rPr>
      </w:pPr>
    </w:p>
    <w:p>
      <w:pPr>
        <w:ind w:left="102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904" w:right="339" w:bottom="1440" w:gutter="0" w:footer="0" w:header="0"/>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ind w:hanging="2"/>
        <w:spacing w:after="0" w:line="26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171" w:lineRule="exact"/>
        <w:rPr>
          <w:sz w:val="20"/>
          <w:szCs w:val="20"/>
          <w:color w:val="auto"/>
        </w:rPr>
      </w:pPr>
    </w:p>
    <w:p>
      <w:pPr>
        <w:sectPr>
          <w:pgSz w:w="11900" w:h="16838" w:orient="portrait"/>
          <w:cols w:equalWidth="0" w:num="4">
            <w:col w:w="1980" w:space="720"/>
            <w:col w:w="1980" w:space="720"/>
            <w:col w:w="2940" w:space="720"/>
            <w:col w:w="2180"/>
          </w:cols>
          <w:pgMar w:left="320" w:top="904" w:right="339" w:bottom="1440" w:gutter="0" w:footer="0" w:header="0"/>
          <w:type w:val="continuous"/>
        </w:sect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left="380" w:hanging="318"/>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the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904" w:right="339" w:bottom="1440" w:gutter="0" w:footer="0" w:header="0"/>
          <w:type w:val="continuous"/>
        </w:sectPr>
      </w:pPr>
    </w:p>
    <w:p>
      <w:pPr>
        <w:spacing w:after="0" w:line="184" w:lineRule="exact"/>
        <w:rPr>
          <w:sz w:val="20"/>
          <w:szCs w:val="20"/>
          <w:color w:val="auto"/>
        </w:rPr>
      </w:pPr>
    </w:p>
    <w:p>
      <w:pPr>
        <w:ind w:left="880"/>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International Financial Reporting Standards as issued by the</w:t>
      </w:r>
    </w:p>
    <w:p>
      <w:pPr>
        <w:spacing w:after="0" w:line="27" w:lineRule="exact"/>
        <w:rPr>
          <w:sz w:val="20"/>
          <w:szCs w:val="20"/>
          <w:color w:val="auto"/>
        </w:rPr>
      </w:pPr>
    </w:p>
    <w:p>
      <w:pPr>
        <w:jc w:val="center"/>
        <w:ind w:right="1020"/>
        <w:spacing w:after="0" w:line="207" w:lineRule="exact"/>
        <w:rPr>
          <w:sz w:val="20"/>
          <w:szCs w:val="20"/>
          <w:color w:val="auto"/>
        </w:rPr>
      </w:pPr>
      <w:r>
        <w:rPr>
          <w:rFonts w:ascii="Times New Roman" w:cs="Times New Roman" w:eastAsia="Times New Roman" w:hAnsi="Times New Roman"/>
          <w:sz w:val="18"/>
          <w:szCs w:val="18"/>
          <w:color w:val="auto"/>
        </w:rPr>
        <w:t xml:space="preserve">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486" w:lineRule="exact"/>
        <w:rPr>
          <w:sz w:val="20"/>
          <w:szCs w:val="20"/>
          <w:color w:val="auto"/>
        </w:rPr>
      </w:pPr>
    </w:p>
    <w:p>
      <w:pPr>
        <w:sectPr>
          <w:pgSz w:w="11900" w:h="16838" w:orient="portrait"/>
          <w:cols w:equalWidth="0" w:num="3">
            <w:col w:w="2740" w:space="720"/>
            <w:col w:w="5340" w:space="720"/>
            <w:col w:w="1720"/>
          </w:cols>
          <w:pgMar w:left="320" w:top="904" w:right="339" w:bottom="1440" w:gutter="0" w:footer="0" w:header="0"/>
          <w:type w:val="continuous"/>
        </w:sectPr>
      </w:pPr>
    </w:p>
    <w:p>
      <w:pPr>
        <w:spacing w:after="0" w:line="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21" w:lineRule="exact"/>
        <w:rPr>
          <w:sz w:val="20"/>
          <w:szCs w:val="20"/>
          <w:color w:val="auto"/>
        </w:rPr>
      </w:pPr>
    </w:p>
    <w:p>
      <w:pPr>
        <w:ind w:left="95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184" w:lineRule="exact"/>
        <w:rPr>
          <w:sz w:val="20"/>
          <w:szCs w:val="20"/>
          <w:color w:val="auto"/>
        </w:rPr>
      </w:pPr>
    </w:p>
    <w:p>
      <w:pPr>
        <w:ind w:left="102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14"/>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620" w:type="dxa"/>
            <w:vAlign w:val="bottom"/>
          </w:tcPr>
          <w:p>
            <w:pPr>
              <w:spacing w:after="0"/>
              <w:rPr>
                <w:sz w:val="20"/>
                <w:szCs w:val="20"/>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320" w:type="dxa"/>
            <w:vAlign w:val="bottom"/>
            <w:gridSpan w:val="9"/>
            <w:shd w:val="clear" w:color="auto" w:fill="CCEEFF"/>
          </w:tcPr>
          <w:p>
            <w:pPr>
              <w:jc w:val="center"/>
              <w:ind w:right="2660"/>
              <w:spacing w:after="0" w:line="176"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2620" w:type="dxa"/>
            <w:vAlign w:val="bottom"/>
            <w:shd w:val="clear" w:color="auto" w:fill="CCEEFF"/>
          </w:tcPr>
          <w:p>
            <w:pPr>
              <w:spacing w:after="0"/>
              <w:rPr>
                <w:sz w:val="17"/>
                <w:szCs w:val="17"/>
                <w:color w:val="auto"/>
              </w:rPr>
            </w:pPr>
          </w:p>
        </w:tc>
      </w:tr>
      <w:tr>
        <w:trPr>
          <w:trHeight w:val="176"/>
        </w:trPr>
        <w:tc>
          <w:tcPr>
            <w:tcW w:w="80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4540" w:type="dxa"/>
            <w:vAlign w:val="bottom"/>
            <w:tcBorders>
              <w:top w:val="single" w:sz="8" w:color="CCEEFF"/>
            </w:tcBorders>
            <w:gridSpan w:val="27"/>
          </w:tcPr>
          <w:p>
            <w:pPr>
              <w:ind w:left="120"/>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580" w:type="dxa"/>
            <w:vAlign w:val="bottom"/>
            <w:tcBorders>
              <w:top w:val="single" w:sz="8" w:color="0000EE"/>
            </w:tcBorders>
            <w:gridSpan w:val="3"/>
          </w:tcPr>
          <w:p>
            <w:pPr>
              <w:spacing w:after="0"/>
              <w:rPr>
                <w:sz w:val="15"/>
                <w:szCs w:val="15"/>
                <w:color w:val="auto"/>
              </w:rPr>
            </w:pPr>
          </w:p>
        </w:tc>
        <w:tc>
          <w:tcPr>
            <w:tcW w:w="2700" w:type="dxa"/>
            <w:vAlign w:val="bottom"/>
            <w:tcBorders>
              <w:top w:val="single" w:sz="8" w:color="CCEEFF"/>
            </w:tcBorders>
            <w:gridSpan w:val="5"/>
          </w:tcPr>
          <w:p>
            <w:pPr>
              <w:spacing w:after="0"/>
              <w:rPr>
                <w:sz w:val="15"/>
                <w:szCs w:val="15"/>
                <w:color w:val="auto"/>
              </w:rPr>
            </w:pPr>
          </w:p>
        </w:tc>
        <w:tc>
          <w:tcPr>
            <w:tcW w:w="2620" w:type="dxa"/>
            <w:vAlign w:val="bottom"/>
            <w:tcBorders>
              <w:top w:val="single" w:sz="8" w:color="CCEEFF"/>
            </w:tcBorders>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820" w:type="dxa"/>
            <w:vAlign w:val="bottom"/>
            <w:gridSpan w:val="3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7820" w:type="dxa"/>
            <w:vAlign w:val="bottom"/>
            <w:gridSpan w:val="35"/>
          </w:tcPr>
          <w:p>
            <w:pPr>
              <w:ind w:left="120"/>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7820" w:type="dxa"/>
            <w:vAlign w:val="bottom"/>
            <w:gridSpan w:val="3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4A</w:t>
            </w:r>
          </w:p>
        </w:tc>
        <w:tc>
          <w:tcPr>
            <w:tcW w:w="7820" w:type="dxa"/>
            <w:vAlign w:val="bottom"/>
            <w:gridSpan w:val="35"/>
          </w:tcPr>
          <w:p>
            <w:pPr>
              <w:ind w:left="12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7820" w:type="dxa"/>
            <w:vAlign w:val="bottom"/>
            <w:gridSpan w:val="3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7820" w:type="dxa"/>
            <w:vAlign w:val="bottom"/>
            <w:gridSpan w:val="35"/>
          </w:tcPr>
          <w:p>
            <w:pPr>
              <w:ind w:left="120"/>
              <w:spacing w:after="0" w:line="17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21"/>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7820" w:type="dxa"/>
            <w:vAlign w:val="bottom"/>
            <w:gridSpan w:val="3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101</w:t>
            </w: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7820" w:type="dxa"/>
            <w:vAlign w:val="bottom"/>
            <w:gridSpan w:val="35"/>
          </w:tcPr>
          <w:p>
            <w:pPr>
              <w:ind w:left="120"/>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102</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7820" w:type="dxa"/>
            <w:vAlign w:val="bottom"/>
            <w:gridSpan w:val="3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The Offer and Listing</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103</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7820" w:type="dxa"/>
            <w:vAlign w:val="bottom"/>
            <w:gridSpan w:val="35"/>
          </w:tcPr>
          <w:p>
            <w:pPr>
              <w:ind w:left="120"/>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103</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7820" w:type="dxa"/>
            <w:vAlign w:val="bottom"/>
            <w:gridSpan w:val="3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111</w:t>
            </w: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7820" w:type="dxa"/>
            <w:vAlign w:val="bottom"/>
            <w:gridSpan w:val="35"/>
          </w:tcPr>
          <w:p>
            <w:pPr>
              <w:ind w:left="120"/>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111</w:t>
            </w:r>
          </w:p>
        </w:tc>
      </w:tr>
      <w:tr>
        <w:trPr>
          <w:trHeight w:val="21"/>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176"/>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gridSpan w:val="10"/>
          </w:tcPr>
          <w:p>
            <w:pPr>
              <w:jc w:val="center"/>
              <w:ind w:right="2640"/>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II</w:t>
            </w:r>
          </w:p>
        </w:tc>
        <w:tc>
          <w:tcPr>
            <w:tcW w:w="26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7820" w:type="dxa"/>
            <w:vAlign w:val="bottom"/>
            <w:gridSpan w:val="3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112</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7820" w:type="dxa"/>
            <w:vAlign w:val="bottom"/>
            <w:gridSpan w:val="35"/>
          </w:tcPr>
          <w:p>
            <w:pPr>
              <w:ind w:left="120"/>
              <w:spacing w:after="0" w:line="17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112</w:t>
            </w:r>
          </w:p>
        </w:tc>
      </w:tr>
      <w:tr>
        <w:trPr>
          <w:trHeight w:val="21"/>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7820" w:type="dxa"/>
            <w:vAlign w:val="bottom"/>
            <w:gridSpan w:val="3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112</w:t>
            </w: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7820" w:type="dxa"/>
            <w:vAlign w:val="bottom"/>
            <w:gridSpan w:val="35"/>
          </w:tcPr>
          <w:p>
            <w:pPr>
              <w:ind w:left="12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113</w:t>
            </w:r>
          </w:p>
        </w:tc>
      </w:tr>
      <w:tr>
        <w:trPr>
          <w:trHeight w:val="21"/>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16A</w:t>
            </w:r>
          </w:p>
        </w:tc>
        <w:tc>
          <w:tcPr>
            <w:tcW w:w="7820" w:type="dxa"/>
            <w:vAlign w:val="bottom"/>
            <w:gridSpan w:val="3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113</w:t>
            </w: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16B</w:t>
            </w:r>
          </w:p>
        </w:tc>
        <w:tc>
          <w:tcPr>
            <w:tcW w:w="7820" w:type="dxa"/>
            <w:vAlign w:val="bottom"/>
            <w:gridSpan w:val="35"/>
          </w:tcPr>
          <w:p>
            <w:pPr>
              <w:ind w:left="120"/>
              <w:spacing w:after="0" w:line="176" w:lineRule="exact"/>
              <w:rPr>
                <w:sz w:val="20"/>
                <w:szCs w:val="20"/>
                <w:color w:val="auto"/>
              </w:rPr>
            </w:pPr>
            <w:r>
              <w:rPr>
                <w:rFonts w:ascii="Times New Roman" w:cs="Times New Roman" w:eastAsia="Times New Roman" w:hAnsi="Times New Roman"/>
                <w:sz w:val="18"/>
                <w:szCs w:val="18"/>
                <w:color w:val="0000EE"/>
              </w:rPr>
              <w:t>Code of Ethics</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113</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16C</w:t>
            </w:r>
          </w:p>
        </w:tc>
        <w:tc>
          <w:tcPr>
            <w:tcW w:w="7820" w:type="dxa"/>
            <w:vAlign w:val="bottom"/>
            <w:gridSpan w:val="3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113</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16D</w:t>
            </w:r>
          </w:p>
        </w:tc>
        <w:tc>
          <w:tcPr>
            <w:tcW w:w="7820" w:type="dxa"/>
            <w:vAlign w:val="bottom"/>
            <w:gridSpan w:val="35"/>
          </w:tcPr>
          <w:p>
            <w:pPr>
              <w:ind w:left="120"/>
              <w:spacing w:after="0" w:line="17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114</w:t>
            </w:r>
          </w:p>
        </w:tc>
      </w:tr>
      <w:tr>
        <w:trPr>
          <w:trHeight w:val="21"/>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16E</w:t>
            </w:r>
          </w:p>
        </w:tc>
        <w:tc>
          <w:tcPr>
            <w:tcW w:w="7820" w:type="dxa"/>
            <w:vAlign w:val="bottom"/>
            <w:gridSpan w:val="3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114</w:t>
            </w: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16F</w:t>
            </w:r>
          </w:p>
        </w:tc>
        <w:tc>
          <w:tcPr>
            <w:tcW w:w="7820" w:type="dxa"/>
            <w:vAlign w:val="bottom"/>
            <w:gridSpan w:val="35"/>
          </w:tcPr>
          <w:p>
            <w:pPr>
              <w:ind w:left="120"/>
              <w:spacing w:after="0" w:line="17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114</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16G</w:t>
            </w:r>
          </w:p>
        </w:tc>
        <w:tc>
          <w:tcPr>
            <w:tcW w:w="7820" w:type="dxa"/>
            <w:vAlign w:val="bottom"/>
            <w:gridSpan w:val="3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114</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16H</w:t>
            </w:r>
          </w:p>
        </w:tc>
        <w:tc>
          <w:tcPr>
            <w:tcW w:w="7820" w:type="dxa"/>
            <w:vAlign w:val="bottom"/>
            <w:gridSpan w:val="35"/>
          </w:tcPr>
          <w:p>
            <w:pPr>
              <w:ind w:left="120"/>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114</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16I</w:t>
            </w:r>
          </w:p>
        </w:tc>
        <w:tc>
          <w:tcPr>
            <w:tcW w:w="7820" w:type="dxa"/>
            <w:vAlign w:val="bottom"/>
            <w:gridSpan w:val="3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114</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16J</w:t>
            </w:r>
          </w:p>
        </w:tc>
        <w:tc>
          <w:tcPr>
            <w:tcW w:w="7820" w:type="dxa"/>
            <w:vAlign w:val="bottom"/>
            <w:gridSpan w:val="35"/>
          </w:tcPr>
          <w:p>
            <w:pPr>
              <w:ind w:left="120"/>
              <w:spacing w:after="0" w:line="176" w:lineRule="exact"/>
              <w:rPr>
                <w:sz w:val="20"/>
                <w:szCs w:val="20"/>
                <w:color w:val="auto"/>
              </w:rPr>
            </w:pPr>
            <w:r>
              <w:rPr>
                <w:rFonts w:ascii="Times New Roman" w:cs="Times New Roman" w:eastAsia="Times New Roman" w:hAnsi="Times New Roman"/>
                <w:sz w:val="18"/>
                <w:szCs w:val="18"/>
                <w:color w:val="0000EE"/>
              </w:rPr>
              <w:t>Insider Trading Policies</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114</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16K</w:t>
            </w:r>
          </w:p>
        </w:tc>
        <w:tc>
          <w:tcPr>
            <w:tcW w:w="7820" w:type="dxa"/>
            <w:vAlign w:val="bottom"/>
            <w:gridSpan w:val="3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115</w:t>
            </w:r>
          </w:p>
        </w:tc>
      </w:tr>
      <w:tr>
        <w:trPr>
          <w:trHeight w:val="175"/>
        </w:trPr>
        <w:tc>
          <w:tcPr>
            <w:tcW w:w="8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360" w:type="dxa"/>
            <w:vAlign w:val="bottom"/>
            <w:tcBorders>
              <w:top w:val="single" w:sz="8" w:color="CCEEFF"/>
            </w:tcBorders>
            <w:gridSpan w:val="11"/>
          </w:tcPr>
          <w:p>
            <w:pPr>
              <w:jc w:val="center"/>
              <w:ind w:right="2640"/>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2620" w:type="dxa"/>
            <w:vAlign w:val="bottom"/>
            <w:tcBorders>
              <w:top w:val="single" w:sz="8" w:color="CCEEFF"/>
            </w:tcBorders>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17</w:t>
            </w:r>
          </w:p>
        </w:tc>
        <w:tc>
          <w:tcPr>
            <w:tcW w:w="7820" w:type="dxa"/>
            <w:vAlign w:val="bottom"/>
            <w:gridSpan w:val="3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116</w:t>
            </w: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18</w:t>
            </w:r>
          </w:p>
        </w:tc>
        <w:tc>
          <w:tcPr>
            <w:tcW w:w="7820" w:type="dxa"/>
            <w:vAlign w:val="bottom"/>
            <w:gridSpan w:val="35"/>
          </w:tcPr>
          <w:p>
            <w:pPr>
              <w:ind w:left="12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116</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19</w:t>
            </w:r>
          </w:p>
        </w:tc>
        <w:tc>
          <w:tcPr>
            <w:tcW w:w="7820" w:type="dxa"/>
            <w:vAlign w:val="bottom"/>
            <w:gridSpan w:val="3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6"/>
              </w:rPr>
              <w:t>116</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this Annual Report on the Form 20-F references to “Tiziana,” “Tiziana Life Sciences plc,” “the company,” “we,” “us” and “our” refer to Tiziana Life Sciences Ltd, Bermuda and its wholly owned subsidiaries, Tiziana Life Sciences Ltd (formerly Tiziana Life Sciences plc), Tiziana Therapeutics Inc., Tiziana Pharma Limited and Longevia Genomics S.r.l.</w:t>
      </w:r>
    </w:p>
    <w:p>
      <w:pPr>
        <w:spacing w:after="0" w:line="17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 xml:space="preserve">Solely for convenience, the trademarks, service marks and trade names in this Annual Report may be referred to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 symbols, but such references should not be construed as any indicator that their respective owners will not assert, to the fullest extent under applicable law, their rights thereto. This annual report contains additional trademarks, service marks and trade names of others, which are the property of their respective owners. We do not intend to use or display other companies’ trademarks, service marks and trade names to imply a relationship with, or endorsement or sponsorship of us by, any other companies.</w:t>
      </w:r>
    </w:p>
    <w:p>
      <w:pPr>
        <w:spacing w:after="0" w:line="20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this annual report, unless otherwise stated, all references to “U.S. dollars” or “US$” or “$” or “cents” are to the currency of the United States of America, and all references to “Pounds Sterling” or “Sterling” or “£” or “pence” are to the currency of the United Kingdom.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this annual report, any reference to any provision of any legislation shall include any amendment, modification, re-enactment or extension thereof. Words importing the singular shall include the plural and vice versa, and words importing the masculine gender shall include the feminine or neutral gender.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includes our audited consolidated financial statements as of and for the years ended December 31, 2025 and 2024, which are prepared in accordance with International Financial Reporting Standards, or IFRS, as issued by the International Accounting Standards Board, or IASB. None of our financial statements were prepared in accordance with generally accepted accounting principles in the United States.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financial information is presented in United States dollars. For the convenience of the reader, in this annual report, unless otherwise indicated, translations from Pounds Sterling into U.S. dollars were made at the rate of £1.00 to $1.3387, which was the closing spot rate on December 31, 2025. Such U.S. dollar amounts are not necessarily indicative of the amounts of U.S. dollars that could actually have been purchased upon exchange of Pounds Sterling at the dates indicated.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made rounding adjustments to some of the figures included in this annual report. Accordingly, numerical figures shown as totals in some tables may not be an arithmetic aggregation of the figures that preceded them.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involve substantial risks and uncertainties. All statements contained in this Annual Report, other than statements of historical fact, including statements regarding our strategy, future operations, future financial position, future revenues, projected costs, prospects, plans and objectives of management, are forward-looking statements. The words “may,” “might,” “will,” “could,” “would,” “should,” “expect,” “intend,” “plan,” “objective,” “anticipate,” “believe,” “estimate,” “predict,” “potential,” “continue” and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include statements about:</w:t>
      </w:r>
    </w:p>
    <w:p>
      <w:pPr>
        <w:spacing w:after="0" w:line="194" w:lineRule="exact"/>
        <w:rPr>
          <w:sz w:val="20"/>
          <w:szCs w:val="20"/>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Foralumab, an anti-IL6R monoclonal antibody (TZLS-501), and any of our other product candidates, including statements regarding the timing of initiation, completion and the outcome of clinical studies or trials and related preparatory work, the period during which the results of the trials will become available and our research and development programs;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including Foralumab, an anti-IL6R monoclonal antibody (TZLS-501), in the indications for which we plan to develop them, and any related restrictions, limitations or warnings in the label of an approved drug or therapy;</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manufacture and commercialize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regulatory filings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revenue, expenses and needs for additional financing;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European Union and foreign countries.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refer to the section titled “Risk Factors”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have filed as exhibits to this Annual Report completely and with the understanding that our actual future results may be materially different from what we expect. We qualify all of our forward-looking statements by these cautionary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Selected Financial Data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summarizes our consolidated financial data as of the dates and for the periods indicated. The consolidated financial statement data as of December 31, 2025 and 2024 and for the years ended December 31, 2025, 2024 and 2023 have been derived from our consolidated financial statements, as presented at the end of this Annual Report, which have been prepared in accordance with IFRS, as issued by the IASB, and audited in accordance with the standards of the Public Company Accounting Oversight Board (United States). The consolidated financial statement data as of December 31, 2022 and 2021 and for the years ended December 31, 2022 and 2021 have been derived from our consolidated financial statements, which are not presented herein, which have also been prepared in accordance with IFRS as issued by the IASB.</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functional and presentational currency is the U.S. dollar.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historical results are not necessarily indicative of the results that may be expected in the future. The following selected consolidated financial data should be read in conjunction with our audited consolidated financial statements included at the end of this Annual Report and the related notes and Item 5, “Operating and Financial Review and Prospects”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and Comprehensive Loss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9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2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(5,229)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(13,208)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(10,853)</w:t>
            </w:r>
          </w:p>
        </w:tc>
        <w:tc>
          <w:tcPr>
            <w:tcW w:w="32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(10,565)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(13,311)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Realization bonus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w:t>
            </w:r>
          </w:p>
        </w:tc>
        <w:tc>
          <w:tcPr>
            <w:tcW w:w="24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Intellectual Property</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(21,132)</w:t>
            </w:r>
          </w:p>
        </w:tc>
        <w:tc>
          <w:tcPr>
            <w:tcW w:w="32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(15,794)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(17,984)</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(27,374)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(21,132)</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(15,794)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(17,984)</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(27,374)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2,701</w:t>
            </w:r>
          </w:p>
        </w:tc>
        <w:tc>
          <w:tcPr>
            <w:tcW w:w="32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(952)</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742</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4,883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(18,431)</w:t>
            </w:r>
          </w:p>
        </w:tc>
        <w:tc>
          <w:tcPr>
            <w:tcW w:w="32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(11,863)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(17,691)</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(23,417)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(72)</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1,492</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(4,478)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(18,519)</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(11,935)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(27,895)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(0.11)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As of December 31,</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4,010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1,183</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18,122</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42,186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(2,657)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688</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17,619</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41,133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11,495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12,184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26,477</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48,826</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equity/(deficit)</w:t>
            </w:r>
          </w:p>
        </w:tc>
        <w:tc>
          <w:tcPr>
            <w:tcW w:w="24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5,534</w:t>
            </w: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19,571</w:t>
            </w:r>
          </w:p>
        </w:tc>
        <w:tc>
          <w:tcPr>
            <w:tcW w:w="3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41,280</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define working capital as current assets less current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Capitalization and Indebtedness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has significant risks. You should consider carefully the risks described below, together with the other information contained in this Annual Report, including our financial statements and the related notes. If any of the following risks occur, our business, financial condition, results of operations and future growth prospects could be materially and adversely affected. Our results could materially differ from those anticipated in these forward-looking statements, as a result of certain factors including the risks described below and elsewhere in this Annual Report and our other SEC filings. See “Cautionary Statement Regarding Forward-Looking Statements”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substantial delays in clinical trials of our product candidates, we may be unable to obtain required regulatory approvals, and therefore will be unable to commercialize our product candidates on a timely basis or at all.</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utility of the product candidates. Clinical testing is expensive, time-consuming and uncertain as to outcome. We cannot guarantee that any clinical trials will be conducted as planned or completed on schedule, if at all, as a failure of one or more clinical trials can occur at any stage of testing. Events that may prevent successful or timely completion of clinical development include:</w:t>
      </w:r>
    </w:p>
    <w:p>
      <w:pPr>
        <w:spacing w:after="0" w:line="180" w:lineRule="exact"/>
        <w:rPr>
          <w:sz w:val="20"/>
          <w:szCs w:val="20"/>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the U.S. Food and Drug Administration, or FDA, European Medicines Agency, or EMA, or other regulatory authorities on trial design;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or CROs, and clinical trial sites;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execution of development due to financial instability of our CROs, CMOs and CDMOs;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opening clinical trial sites or obtaining required institutional review board or independent ethics committee approval at each clinical trial site;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our future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 serious adverse event or after an inspection of our clinical trial operations or clinical trial sites;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any CROs we engage or any other third parties to adhere to clinical trial requirements;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good clinical practice, or GCP, or applicable regulatory guidelines in Europe and other international markets;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product candidates to the clinical trial sites, including delays by third parties with whom we have contracted to perform certain of those functions;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clinical trial or return for post-treatment follow-up;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or patients dropping out of a clinical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the product candidate that are viewed to outweigh its potential benefits;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sufficient funding to complete planned or ongoing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clinical trials of the same class of agents conducted by other sponsors;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or impair our ability to generate revenues from product sales, regulatory and commercialization milestones and royalties. In addition, if we make manufacturing or formulation changes to our product candidates, we may need to conduct additional studies to bridge our modified product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demonstrate the safety and therapeutic utility of our product candidates to the satisfaction of applicable regulatory authorities, which would prevent or delay regulatory approval and commercialization.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Clinical testing is expensive and can take many years to complete, and its outcome is inherently uncertain. Most product candidates that commence clinical trials are never approved as products. If the results of our registrational trial or future pivotal trials for our other product candidates do not demonstrate therapeutic utility of our product candidates, or if there are safety concerns or serious adverse events associated with our product candidates, we may:</w:t>
      </w:r>
    </w:p>
    <w:p>
      <w:pPr>
        <w:spacing w:after="0" w:line="183"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if at all;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a modified risk evaluation and mitigation strategy, or REMS;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 experience damage to our reputation.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clinical trials may not be indicative of results in future clinical trials.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Success in preclinical testing and early clinical trials does not ensure that later clinical trials will generate the same results or otherwise provide adequate data to demonstrate the effectiveness and safety of our product candidate. Frequently, product candidates that have shown promising results in early clinical trials have subsequently suffered significant setbacks in later clinical trials. To date, some of our clinical trials have involved small patient populations and because of the small sample size in such trials, the interim results of these clinical trials may be subject to substantial variability and may not be indicative of either future interim results or final results. In addition, the design of a clinical trial can determine whether its results will support approval of a product and flaws in the design of a clinical trial may not become apparent until the clinical trial is well advanced. In addition, there is a high failure rate for drugs and biologic products proceeding through clinical trials. In fact, many companies in the pharmaceutical and biotechnology industries have suffered significant setbacks in late-stage clinical trials even after achieving promising results in preclinical testing and earlier-stage clinical trials. Moreover, data obtained from preclinical and clinical activities is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for our product candidates and may find it difficult to enroll patients in our clinical trials, which could delay or prevent us from proceeding with clinical trials of our product candidates and could materially adversely affect our R&amp;D efforts and business, financial condition and results of operations.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our ability to recruit patients to participate, and to see those patients through the completion of required follow-up periods. If, for any reason, patients are unwilling to enroll in our clinical trials, then the timeline for recruiting patients, conducting studies and obtaining regulatory approvals for our product candidates may be delayed. These delays could result in increased costs, delays in advancing our product candidates, delays in testing the effectiveness of our product candidates or termination of clinical trials altogether.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current product candidates are being developed to treat oncology and immune diseases of high unmet medical need. However, we may not be able to initiate or continue clinical trials if we cannot enroll a sufficient number of eligible patients to participate in the clinical trials required by the FDA, EMA or other regulatory authorities. As a result, we may not be able to identify, recruit and enroll a sufficient number of patients, or those with required or desired characteristics, to complete our clinical trials in a timely manner. Patient enrollment can be affected by many factors, including:</w:t>
      </w:r>
    </w:p>
    <w:p>
      <w:pPr>
        <w:spacing w:after="0" w:line="180"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our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clinical trials for product candidates competing in the same therapeutic areas as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drop-outs prior to completion of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ability to successfully initiate, enroll and complete clinical trials in any foreign country is subject to numerous risks unique to conducting business in foreign countries, including:</w:t>
      </w:r>
    </w:p>
    <w:p>
      <w:pPr>
        <w:spacing w:after="0" w:line="16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CROs and physicians;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conduct of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in some countries of established groups with sufficient regulatory expertise for review of certain treatment protocols;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locate qualified local consultants, physicians and partners;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have difficulty enrolling a sufficient number of patients or finding additional clinical trial sites to conduct our clinical trials as planned, we may need to delay, limit or terminate ongoing or planned clinical trials, any of which could have an adverse effect on our business, financial condition, results of operations and prospects.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the product candidate being studied caused these conditions. Regulatory authorities may draw different conclusions or require additional testing to confirm these determinations. For Foralumab, the most frequent drug-related side effects reported following intravenous administration were infusion related reactions, or IRR, including fever, headaches, chills, nausea, vomiting, diarrhea and hypotension considered the result of cytokine release also known as cytokine release syndrome, or CRS. Other adverse events included reactivation of Epstein-Barr virus (clinically silent); moderate lymphocytopenia, abnormalities in liver function tests. Since most of these changes are related to the infusion route of administration and dosage level, such systemic toxicities are not anticipated when administered orally or nasally due to what we assume will be minimal systemic absorption.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it is possible that as we test our product candidates in larger, longer and more extensive clinical programs, or as use of these product candidates becomes more widespread if they receive regulatory approval, illnesses, injuries, discomforts and other adverse events that were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our product candidates cause serious or life-threatening side effects, the development of our product candidates may fail or be delayed, or, if the product candidate has received regulatory approval, such approval may be revoked, which would harm our business, prospects, operating results and financial condition.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11" w:name="page12"/>
    <w:bookmarkEnd w:id="1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in the future we are unable to demonstrate that such adverse events were caused by the administration process or related procedures, the FDA, EMA or other regulatory authorities could order us to cease further development of, or deny approval of, our product candidates for any or all targeted indications. Even if we are able to demonstrate that any serious adverse events are not product-related, such occurrences could affect patient recruitment or the ability of enrolled patients to complete the clinical trial. Moreover, if we elect or are required to delay, suspend or terminate any clinical trial of any of our product candidates, the commercial prospects of such product candidate may be harmed and our ability to generate product revenues from such product candidate may be delayed or eliminated. Any of these occurrences may harm our ability to develop other product candidates, and may harm our business, financial condition and prospects.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if we or others later identify undesirable side effects caused by any of our product candidates, several potentially significant negative consequences could result, including:</w:t>
      </w:r>
    </w:p>
    <w:p>
      <w:pPr>
        <w:spacing w:after="0" w:line="16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substantial delays in clinical trials of our product candidates, we may be unable to obtain required regulatory approvals, and therefore will be unable to commercialize our product candidates on a timely basis or at all.</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utility of the product candidates. Clinical testing is expensive, time-consuming and uncertain as to outcome. We cannot guarantee that any clinical trials will be conducted as planned or completed on schedule, if at all, as a failure of one or more clinical trials can occur at any stage of testing. Events that may prevent successful or timely completion of clinical development include:</w:t>
      </w:r>
    </w:p>
    <w:p>
      <w:pPr>
        <w:spacing w:after="0" w:line="180" w:lineRule="exact"/>
        <w:rPr>
          <w:sz w:val="20"/>
          <w:szCs w:val="20"/>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the U.S. Food and Drug Administration, or FDA, European Medicines Agency, or EMA, or other regulatory authorities on trial design;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or CROs, and clinical trial sites;</w:t>
      </w:r>
    </w:p>
    <w:p>
      <w:pPr>
        <w:spacing w:after="0" w:line="225"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opening clinical trial sites or obtaining required institutional review board or independent ethics committee approval at each clinical trial site;</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our future clinical trials;</w:t>
      </w:r>
    </w:p>
    <w:p>
      <w:pPr>
        <w:spacing w:after="0" w:line="20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 serious adverse event or after an inspection of our clinical trial operations or clinical trial sites;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any CROs we engage or any other third parties to adhere to clinical trial requirements;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product candidates to the clinical trial sites, including delays by third parties with whom we have contracted to perform certain of those functions;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clinical trial or return for post-treatment follow-up;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or patients dropping out of a clinical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the product candidate that are viewed to outweigh its potential benefits;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clinical trials of the same class of agents conducted by other sponsors;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or impair our ability to generate revenues from product sales, regulatory and commercialization milestones and royalties. In addition, if we make manufacturing or formulation changes to our product candidates, we may need to conduct additional studies to bridge our modified product candidates to earlier versions. There can be no assurance that we will be able to resolve the issues raised by the FDA in a timely basis or that the FDA will not place future clinical trials of our product candidates on additional clinical holds in the future.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contamination in our manufacturing process, shortages of raw materials or failure of any of our key suppliers to deliver necessary components could result in delays in our clinical development or marketing schedules.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Given the nature of biologics and NCE manufacturing, there is a risk of contamination. Any contamination could adversely affect our ability to produce product candidates on schedule and could, therefore, harm our results of operations and cause reputational damage. In addition, some of the raw materials required in our manufacturing process are derived from biologic sources and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Foralumab in one indication may cast doubt on its viability in other indications and may adversely affect our ability to fund further clinical development.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developing Foralumab across multiple indications, including non-active secondary progressive multiple sclerosis (na-SPMS), Alzheimer's disease, amyotrophic lateral sclerosis (ALS), and multiple system atrophy (MSA). Although these indications share a common underlying mechanism (the modulation of neuroinflammation through regulatory T cells), negative or inconclusive results from clinical trials in any one indication could raise broader questions about the therapeutic utility of Foralumab and the validity of its mechanism of action across other indications.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Foralumab fails to demonstrate sufficient safety or efficacy in any of our ongoing or planned clinical trials, investors, potential partners, and the broader scientific and medical community may question whether the drug is capable of producing meaningful clinical benefit in any indication. Such perceptions, whether or not scientifically justified, could materially impair our ability to raise additional capital to fund clinical trials in other indications, attract collaboration or licensing partners on acceptable terms, or at all, and maintain or expand our clinical programs.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continue developing Foralumab across multiple indications is dependent on our ability to secure adequate funding. A failure in one indication could reduce investor confidence and make it significantly more difficult and costly to raise the capital necessary to advance our other programs. If we are unable to obtain sufficient funding as a result of such a failure, we may be required to delay, limit, or discontinue one or more of our clinical programs, which could have a material adverse effect on our business, financial condition, results of operations, and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Foralumab receives regulatory approval in multiple indications with differing pricing or reimbursement levels, physicians may prescribe the lower-priced approved formulation for off-label use in higher-priced indications, which could materially reduce our revenues.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Foralumab is approved for more than one indication, the approved products may be priced differently across those indications. In such circumstances, physicians may elect to prescribe the formulation approved for a lower-priced indication for use in patients who would otherwise be treated under a higher-priced indication, even where such prescribing constitutes off-label use. We would have limited ability to prevent or control such prescribing practices. Off-label prescribing of a lower-priced approved formulation of Foralumab in place of a higher-priced approved formulation could significantly reduce the revenues we are able to generate from the higher-priced indication, undermine our pricing strategy across our product portfolio, and adversely affect our ability to achieve or sustain profitability.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in every year since our inception. We anticipate that we will continue to incur losses for the foreseeable future and may never achieve or maintain profitability.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clinical stage biotechnology company with a limited operating history. Since our inception in May 2013, we have incurred significant net losses. Our net losses were $18.4m, $11.9m and $17.7m for the years ended December 31, 2025, 2024 and 2023, respectively. As of December 31, 2025, we had an accumulated loss of $163.1m We have devoted substantially all of our efforts to research and development of our product candidates, including clinical development of our lead product candidate, Foralumab, as well as to building out our management team and infrastructure. We expect that it could be several years, if ever, before we have a commercialized product candidate. We expect to continue to incur significant expenses and increasing operating losses for the foreseeable future. These net losses will adversely impact our shareholders’ equity and net assets and may fluctuate significantly from quarter to quarter and year to year. We anticipate that our expenses will increase substantially if, and as, we:</w:t>
      </w:r>
    </w:p>
    <w:p>
      <w:pPr>
        <w:spacing w:after="0" w:line="189" w:lineRule="exact"/>
        <w:rPr>
          <w:sz w:val="20"/>
          <w:szCs w:val="20"/>
          <w:color w:val="auto"/>
        </w:rPr>
      </w:pPr>
    </w:p>
    <w:p>
      <w:pPr>
        <w:jc w:val="both"/>
        <w:ind w:left="980" w:hanging="324"/>
        <w:spacing w:after="0" w:line="258"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development of foralumab, including the initiation of a clinical trial with nasally administered foralumab in patients with secondary progressive multiple sclerosis (SPMS), develop a program for intranasal administration of foralumab for the treatment or prevention of Type 1 Diabetes (T1D), investigate intranasal foralumab for the treatment of Long COVID, study intranasal foralumab in patients with mild to moderate Alzheimer’s Disease and potentially study intranasal foralumab in rare Orphan pediatric diseases when funding becomes available.</w:t>
      </w:r>
    </w:p>
    <w:p>
      <w:pPr>
        <w:spacing w:after="0" w:line="18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cGMP manufacturing of anti-IL6R mAb drug substance and drug product for treatment Interstitial lung disease associated with systemic sclerosis (SSc-ILD) is complete. An IND to conduct a Phase 1 clinical trial was submitted in December 2021</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our product candidates in accordance with current good manufacturing practices, or cGMP, for clinical trials or potential commercial sales;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 for which we may obtain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assess, and acquire or in-license other product candidates and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maintain or obtain freedom to operate for any in-licensed technologies and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technological and market developments;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operations in the United States and Europe.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R&amp;D efforts, expand our business or continue our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need substantial additional funding to complete the development of our product candidates, which may not be available on acceptable terms, if at all. Failure to obtain this necessary capital when needed may force us to delay, limit or terminate certain of our product development, research operations or future commercialization efforts, if any.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and we expect our expenses to increase in connection with our ongoing activities, particularly as we continue the R&amp;D of, initiate further clinical trials of and seek marketing approval for, our product candidates. In addition, if we obtain marketing approval for our product candidates, we expect to incur significant expenses related to product sales, marketing, manufacturing and distribution. Furthermore, we expect to incur additional costs associated with operating as a public company listed on the Nasdaq in the United States. Our future capital requirements will depend on many factors, including:</w:t>
      </w:r>
    </w:p>
    <w:p>
      <w:pPr>
        <w:spacing w:after="0" w:line="183" w:lineRule="exact"/>
        <w:rPr>
          <w:sz w:val="20"/>
          <w:szCs w:val="20"/>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laboratory testing, manufacturing, preclinical and clinical development for our current and future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and develop other product candidates and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 license agreements on favorable terms, if at all;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potential future commercialization activities, including manufacturing, marketing, sales and distribution for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maintaining and enforcing our intellectual property rights and defending intellectual property-related claims;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our product candidates, if and when approved.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Developing product candidates and conducting preclinical studies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 candidates that may not be commercially available for many years, if at all. Accordingly, we will need to continue to rely on additional financing to achieve our business objectives. Adequate additional financing may not be available to us on acceptable terms, if at all. To the extent that additional capital is raised through the issuance of equity or equity-linked securities, the issuance of those securities could result in substantial dilution for our current shareholders and the terms of any future issuance may include liquidation or other preferences that adversely affect the rights of our current shareholders. Debt financing, if available, may involve covenants restricting our operations or our ability to incur additional debt. Any debt or additional equity financing that we raise may contain terms that are not favorable to us or our shareholders. If we raise additional funds through collaboration and licensing arrangements with third parties, it may be necessary to relinquish some rights to our technologies or our product candidates or grant licenses on terms that are not favorable to us. Furthermore, the potential issuance of additional securities in the future, whether equity or debt, by us, or the possibility of such issuance, may cause the market price of our Common shares, to decline and existing shareholders may not agree with our financing plans or the terms of such financings.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funding on a timely basis, we may be required to significantly curtail, delay or discontinue our R&amp;D programs of our product candidates or any future commercialization efforts, be unable to expand our operations or be unable to otherwise capitalize on our business opportunities, as desired, which could harm our business and potentially cause us to discontinue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independent auditors have expressed substantial doubt about our ability to continue as a going concern, and we may be unable to continue our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and have incurred significant net losses since inception. Our independent auditors, PKF Littlejohn LLP, have included a going concern emphasis of matter paragraph in their audit report, and the our cash flow projections indicate we will not be able to meet our liabilities as they fall due within the next 12 months without securing additional funding.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taking steps to address this, including possible deferral of existing liabilities, cost reductions, and the raising of additional equity. In January 2026, we raised approximately $8.6 million in a registered direct offering, and we have an at-the-market offering program in place with Jefferies LLC. However, there can be no assurance that these measures will generate sufficient funds. If we are unable to raise adequate capital in a timely manner, we may be required to curtail or discontinue one or more of our clinical programs or cease operations entirely, and holders of our ordinary shares could lose all or a substantial portion of their investment.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no history of commercializing pharmaceutical products may make it difficult to evaluate the success of our business to date and to assess the prospects for our future viability.</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Foralumab and our other product candidates, building our intellectual property portfolio and providing general and administrative support for these operations. Although our R&amp;D efforts to date have resulted in a pipeline of product candidates, we have not yet demonstrated our ability to successfully complete Phase 3 or other pivotal clinical trials, obtain regulatory approvals, or commercialize any of our product candidates. In addition, given our limited operating history, we may encounter unforeseen expenses, difficulties, complications, delays and other known and unknown factors in achieving our business objectives.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we are not profitable and have incurred losses in each year since our inception, and we expect that our financial condition and operating results may continue to fluctuate significantly from quarter to quarter and year to year due to a variety of factors, many of which are beyond our control. Consequently, any predictions you make about our future success or viability may not be as accurate as they could be if we had a longer operating history.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preclinical studies and clinical trials. If these third parties do not successfully carry out their contractual duties or meet expected deadlines, we may not be able to obtain regulatory approval for or commercialize our product candidates.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and third-party CROs, to conduct our preclinical studies and clinical trials and to monitor and manage data for our ongoing preclinical and clinical programs. In engaging these third parties, we typically have to, and expect to have to, negotiate budgets and contracts, which may result in delays to our development timelines and increases costs. Additionally, there is a limited number of qualified third-party service providers that specialize or have the expertise required to achieve our business objectives, and so it may be challenging to find alternative investigators or CROs, or do so on commercially reasonable terms. We rely on these parties for execution of our preclinical studies and clinical trials, and control only certain aspects of their activities. Nevertheless, we are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European Economic Area and comparable foreign regulatory authorities (including the Medicines and Healthcare products Regulation Agency (“MHRA”) in the United Kingdom) for all of our product candidates in clinical development. Regulatory authorities enforce these GCP requirements through periodic inspections of trial sponsors, principal investigators and clinical trial sites. If we fail to exercise adequate oversight over any of our CROs or if we or any of our CROs fail to comply with applicable GCP requirements, the clinical data generated in our clinical trials may be deemed unreliable and the FDA, EMA, MHRA or other regulatory authorities may require us to perform additional clinical trials before approving our marketing applications. We cannot assure you that upon a regulatory inspection of us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these investigators and CROs are not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our product candidates. These investigators and CROs may also have relationships with other commercial entities, including our competitors, for whom they may also be conducting clinical studies or other drug development activities, which could affect their performance on our behalf. In addition, the use of third-party service providers requires us to disclose our proprietary information to these parties, which increases the risk that a competitor will discover them or that this information will be misappropriated or disclosed.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to do so on commercially reasonable terms.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commercial prospects would be harmed, our costs could increase and our ability to generate revenues could be delayed.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Repeating clinical trials or switching or engaging additional CROs involves additional cost and requires our management’s time and focus. In addition, there is a natural transition period when a clinical trial has to be repeated or when a new CRO commences work. As a result, delays could occur, which could materially impact our ability to meet our desired clinical development timelines.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engaged contract manufacturing organizations, or CMOs, to cGMP manufacture Foralumab (TZLS-401) drug product, and anti-Interleukin 6 Receptor monoclonal antibody (anti-IL6R mAb, TZLS-501) drug substance and drug product and to perform quality testing, and because we collaborate with various organizations and academic institutions for the advancement of our platforms,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proprietary technology and confidential information or other unauthorized use or disclosure of such technology or information would impair our competitive position and may have an adverse effect on our business, financial condition, results of operations and prospects.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Despite our efforts to protect our trade secrets, our competitors may discover our trade secrets, either through breach of these agreements, independent development or publication of information including our trade secrets by third parties. A competitor’s discovery of our trade secrets would impair our competitive position and have an adverse impact on our business, financial condition, results of operations and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and expect to continue to utilize, third parties to conduct our product manufacturing for the foreseeable future, and these third parties may not perform satisfactorily.</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rely on CMOs for the manufacturing of clinical batches and intend to continue to rely on third parties to manufacture our preclinical study and clinical trial product supplies. If our current CMOs, or any future third-party manufacturers, do not successfully carry out their contractual duties, meet expected deadlines or manufacture our product candidates in accordance with regulatory requirements, or if there are disagreements between us and our CMOs or any future third-party manufacturers, we will not be able to complete, or may be delayed in completing, the preclinical studies required to support future investigational new drug, or IND, submissions and the clinical trials required for approval of our product candidates.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current CMOs, we may rely on additional third parties to manufacture ingredients of our product candidates in the future and to perform quality testing, and reliance on these third parties entails risks to which we would not be subject if we manufactured the product candidates ourselves, including:</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for certain aspects of manufacturing activities;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and service agreements with third parties in a manner or at a time that is costly or damaging to us;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regulatory approval or impact our ability to successfully commercialize any of our product candidates. Some of these events could be the basis for FDA, EMA, MHRA or other regulatory authority action, including injunction, recall, seizure or total or partial suspension of product manufacture.</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rely on a third-party manufacturing facility for commercial supply, that third party will be subject to significant regulatory oversight with respect to manufacturing our product candidates.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therapeutics for clinical trials or commercial sale is subject to extensive regulation. Components of a finished therapeutic product approved for commercial sale or used in late-stage clinical trials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outside agents or other contaminants, or to inadvertent changes in the properties or stability of a product candidate that may not be detectable in final product testing. To the extent that we utilize third-party facilities for commercial supply, the third party’s facilities and quality systems must pass an inspection for compliance with the applicable regulations as a condition of regulatory approval. In addition, the regulatory authorities may, at any time, audit or inspect the third-party manufacturing facility or the associated quality systems for compliance with the regulations applicable to the activities being conducted. If, for example, these facilities do not pass a plant inspection, the FDA will not approve the applicable NDA or biologics license application, or BLA.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do not directly control the manufacturing of, and are completely dependent on, our CMOs for compliance with cGMP requirements. If our CMOs cannot successfully manufacture material that conforms to our specifications and the strict regulatory requirements of the FDA, EMA, MHRA or other regulatory authorities, they will not be able to secure and/or maintain regulatory approval for their manufacturing facilities. In addition, we have no direct control over the ability of our CMOs to maintain adequate quality control, quality assurance and qualified personnel. Furthermore, all of our CMOs are engaged with other companies to supply and/or manufacture materials or products for such companies, which exposes our CMOs to regulatory risks for the production of such materials and products. As a result, failure to meet the regulatory requirements for the production of those materials and products may generally affect the regulatory clearance of our CMOs’ facilities. Our failure, or the failure of third parties,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potential future dependence upon others for the manufacture of our product candidates may adversely affect our future profit margins and our ability to commercialize any products that receive regulatory approval on a timely and competitive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force. If we are unable to establish effective sales, marketing and distribution capabilities or enter into agreements with third parties to market, sell and distribute our product candidates that may be approved, we may not be successful in commercializing our product candidates if and when approved, and we may be unable to generate any product revenue.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do not have a marketing or sales team for the marketing, sales and distribution of any of our product candidates. In order to commercialize any of our product candidates that may be approved, we intend to build, on a territory-by-territory basis, marketing, sales, distribution, managerial and other non-technical capabilities or make arrangements with third parties to perform these services. These efforts will require significant capital expenditures, management resources and time, and we face competition in search for qualified personnel or third parties to assist with marketing, sales and distribution of any of our product candidates. We may not be successful in building these capabilities.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and/or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22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 that we may develop;</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treatments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the possibility that our competitors may achieve regulatory approval before us or develop therapies that are more advanced or effective than ours.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 developments, including the development of other pharmaceutical technologies and methods of treating disease, occur in the pharmaceutical and life sciences industries at a rapid pace. Developments by competitors may render our product candidates obsolete or noncompetitive. We anticipate that we will face intense and increasing competition as new treatments enter the market and advanced technologies become available.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have substantially greater financial, technical and other resources, such as larger R&amp;D, clinical, sales and marketing and manufacturing organizations. These third parties also compete with us in recruiting and retaining qualified scientific and management personnel, establishing clinical trial sites and patient registration for clinical trials, as well as in acquiring technologies complementary to, or necessary for, the development of our products. In addition,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 that we may develop. Competitors also may obtain FDA, EMA, MHRA or other regulatory approval for their products more rapidly or earlier than we may obtain approval for ours, which could result in our competitors establishing a strong market position before we are able to enter the market. Additionally, technologies developed by our competitors may render our product candidates uneconomical or obsolete, and we may not be successful in marketing our product candidates against competitors.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 candidate that we may develop and commercialize.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smaller than we anticipate.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focus our R&amp;D efforts on treatments for cancer and autoimmune disease. Our understanding of both the number of people who have these diseases, as well as the subset of people with these diseases who have the potential to benefit from treatment with our product candidates, is based on estimates. These estimates may prove to be incorrect and new studies may reduce the estimated incidence or prevalence of these diseases. The number of patients in the United States, the European Union and elsewhere may turn out to be lower than expected, may not be otherwise amenable to treatment with our product candidates or patients may become increasingly difficult to identify and access, all of which would adversely affect our business, financial condition, results of operations and prospects.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there are several factors that could contribute to making the actual number of patients who receive our potential products, if and when approved, less than the potentially addressable market. These include, for example, the lack of widespread availability of, and limited reimbursement for, new therapies in many underdeveloped markets.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commercial success of our product candidates will depend upon the degree of each product candidates’ market acceptance by physicians, patients, third-party payors and others in the medical community.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product candidates are at varying stages of development, and we may never have a product that is commercially successful. To date, we have no product authorized for marketing. Due to the inherent risk in the development of pharmaceutical products, we may never successfully complete development and commercialization of any of our product candidates. Even with the requisite approvals from the FDA, EMA, MHRA and other regulatory authorities internationally, the commercial success of our product candidates will depend, in part, on the acceptance of physicians, patients and third-party payors of our product candidates as medically necessary, cost-effective and safe. Any product that we commercialize may not gain acceptance by physicians, patients, third-party payors and others in the medical community. If these products do not achieve an adequate level of acceptance, we may not generate significant product revenue and may not become profitable. Even if some product candidates achieve market acceptance, the market may not prove to be large enough to allow us to generate significant revenues. The degree of market acceptance of our product candidates, if approved for commercial sale, will depend on several factors, including:</w:t>
      </w:r>
    </w:p>
    <w:p>
      <w:pPr>
        <w:spacing w:after="0" w:line="188"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safety of our product candidates as demonstrated in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treatment relative to alternative treatments;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any product candidate;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prescribe, and the target patient population to try, new therapies;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EMA, MHRA or other regulatory authorities, including any limitations or warnings contained in a product’s approved labeling;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distribution and marketing support;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 candidates or competing products and treatments;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third-party payor coverage and adequate reimbursement.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258" w:gutter="0" w:footer="0" w:header="0"/>
        </w:sectPr>
      </w:pPr>
    </w:p>
    <w:bookmarkStart w:id="20" w:name="page21"/>
    <w:bookmarkEnd w:id="2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Even if a potential product displays favorable clinical properties and safety profile in preclinical studies and clinical trials, market acceptance of the product will not be fully known until after it is launched.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products is uncertain. Failure to obtain or maintain adequate coverage and reimbursement for our product candidates, if approved, could limit our ability to market those products.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that coverage and adequate reimbursement by government and private payors will be essential for most patients to be able to afford these treatments. Accordingly, sales of our product candidates will depend substantially, both domestically and abroad, on the extent to which the costs of our product candidates will be paid by health maintenance, managed care, pharmacy benefit and similar healthcare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spacing w:after="0" w:line="183"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our health plan;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third-party coverage and reimbursement of newly approved products. In the United States, third-party payors, including government payors such as the Medicare and Medicaid programs, play an important role in determining the extent to which new drugs and biologics will be covered and reimbursed. The Medicare and Medicaid programs increasingly are used as models for how private payors develop their coverage and reimbursement policies. However, no uniform policy of coverage and reimbursement exists among third-party payors. Therefore, coverage and reimbursement for products can differ significantly from payor to payor. One payor’s determination to provide coverage for a product does not assure that other payors will also provide coverage, and adequate reimbursement. It is difficult to predict what the Centers for Medicare and Medicaid Services, or CMS will decide with respect to coverage and reimbursement for fundamentally novel products such as ours, as there is no body of established practices and precedents for these types of products. Moreover, reimbursement agencies in Europe may be more conservative than the CMS. For example, several cancer drugs have been approved for reimbursement in the United States and have not been approved for reimbursement in certain European Union, or EU, member states, or Member States. It is difficult to predict what third-party payors will decide with respect to the coverage and reimbursement for our product candidates.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Also, the containment of healthcare costs has become a priority of federal, state and foreign governments, and the prices of drugs have been a focus in this effort. The U.S. government, state legislatures, and foreign governments have shown significant interest in implementing cost-containment programs to limit the growth of government-paid healthcare costs, including price controls, restrictions on reimbursement and requirements for substitution of generic products for branded prescription drugs. For example, in the United States, the Patient Protection and Affordable Care Act of 2010 (as amended by the Health Care and Education Reconciliation Act of 2010), or the PPACA, contains provisions that may reduce the profitability of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Further, there has been heightened governmental scrutiny over the manner in which manufacturers set prices for their marketed products, which has resulted in several recent congressional inquiries and proposed federal and state legislation designed to, among other things, bring more transparency to product pricing, contain the cost of drugs, review the relationship between pricing and manufacturer patient programs, and reform government program reimbursement methodologies for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Outside the United States, international operations generally are subject to extensive government price controls and other market regulations and increasing emphasis on cost-containment initiatives in the European Union, Canada and other countries may put pricing pressure on us.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product revenues.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Member States and parallel distribution, or arbitrage between low-priced and high-priced Member States, can further reduce prices.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Moreover, increasing efforts by government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Payors increasingly are considering new metrics as the basis for reimbursement rates, such as average sales price,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product candidates that we or our partners are able to commercialize.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intense. As a result, increasingly high barriers are being erected to the entry of new products such as ours.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to the terms and conditions of licenses granted to us by others. If we fail to comply with our obligations under our existing and any future intellectual property licenses with third parties, we could lose license rights that are important to the business.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heavily reliant upon licenses and sublicenses from Lonza and Novimmune to certain patent rights and proprietary technology that are important or necessary to the development of our technology and product candidates, including the patents and know-how relating to manufacture. These and other licenses may not provide exclusive rights to use such intellectual property and technology or may not provide exclusive rights to use such intellectual property and technology in all relevant fields of use and in all territories in which we may wish to develop or commercialize our technology and product candidates in the future. As a result, we may not be able to prevent competitors from developing and commercializing competitive products, including in territories covered by our licenses.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some circumstances, we may not have the right to control the preparation, filing and prosecution of patent applications, or to maintain the patents, covering technology that we license from third parties. If our licensors fail to maintain such patents or patent applications, or lose rights to those patents or patent applications, the rights we have licensed may be reduced or eliminated and our right to develop and commercialize any of our product candidates that are the subject of such licensed rights could be adversely affected. In addition to the foregoing, the risks associated with patent rights that we license from third parties will also apply to patent rights we may own in the future.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Licenses to additional third-party technology and materials that may be required for our development programs, including additional technology and materials owned by any of our current licensors, may not be available in the future or may not be available on commercially reasonable terms, or at all, which could have an adverse effect on our business and financial condition.</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current product candidates, any future product candidates we may develop and our technology, or if the scope of the patent protection obtained is not sufficiently broad, our competitors could develop and commercialize products and technology similar or identical to ours.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our ability to seek, obtain and maintain patent protection in the United States and other countries with respect to our product candidates and to future innovation related to our manufacturing technology. Our licensors have sought, and we intend to seek to protect our proprietary position by filing patent applications in the United States, the United Kingdom and elsewhere, related to certain technologies and our product candidates that are important to our business. Our current patent portfolio contains a limited number of patent applications, all of which are in-licensed from third parties and relate to either composition of matter, formulation, method of use or process of manufacturing Foralumab and a fully human anti-interleukin-6 receptor, or IL-6r, mAb. However, the risks associated with patent rights generally apply to patent rights that we in-license now or in the future, as well as patent rights that we may own in the future. Moreover, the risks apply with respect to patent rights and other intellectual property applicable to our product candidates, as well as to any intellectual property rights that we may acquire in the future related to future product candidates, if any. Tiziana was granted a new patent by USPTO in June 2020 covering lyophilized formulation of Foralumab.</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690" w:gutter="0" w:footer="0" w:header="0"/>
        </w:sectPr>
      </w:pPr>
    </w:p>
    <w:bookmarkStart w:id="22" w:name="page23"/>
    <w:bookmarkEnd w:id="2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some cases, the work of certain academic researchers in the oncology and immunology fields has entered the public domain, which we believe precludes our ability to obtain patent protection for certain inventions relating to such work.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Consequently, we will not be able to assert any such patents to prevent others from using our technology for, and developing and marketing competing products to treat, these indications. It is also possible that we will fail to identify patentable aspects of our R&amp;D output before it is too late to obtain patent protection.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existing license agreements impose, and we expect that future license agreements will impose, various due diligence, development and commercialization timelines, insurance, milestone payments, royalties, and other obligations on us. See the description in the section titled “Business-Collaboration and License Agreements” herein. If we fail to comply with our obligations under these agreements, or we are subject to a bankruptcy, or, in some cases, under other circumstances, the licensor may have the right to terminate the license, in which event we would not be able to market product candidates covered by the license. In addition, certain of these license agreements are not assignable by us without the consent of the respective licensor, which may have an adverse effect on our ability to engage in certain transactions.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obligations arising under our in-license agreements represent a significant and recurring cost to our business. We are obligated to pay upfront license fees, annual maintenance fees, milestone payments and royalties under our existing license agreements with Novimmune SA and The Brigham and Women's Hospital, Inc., among others. These payment obligations arise regardless of whether our product candidates ultimately receive regulatory approval or achieve commercial success. In particular: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Milestone payments. We are obligated to make substantial milestone payments upon the achievement of specified clinical and regulatory development milestones, including upon the enrollment of patients in Phase 1, Phase 2 and Phase 3 clinical trials and upon the first commercial sale of a licensed product. Under our license agreement with The Brigham and Women's Hospital, Inc., for example, we are obligated to make milestone payments of up to $5.4 million in the aggregate. Under our license agreement with Novimmune SA relating to Foralumab (TZLS-401), we are obligated to make additional milestone payments to Bristol-Myers Squibb Company pursuant to the sublicense arrangements. These milestone obligations will require us to expend significant capital at critical stages of our development programs, which may coincide with periods when our cash resources are limited and when we are seeking to raise additional financing. The obligation to fund milestone payments may divert capital from other uses, including the conduct of clinical trials, and may adversely affect our ability to advance our product candidates on a timely basis.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Royalty obligations. We are obligated to pay royalties on net sales of any licensed products that we commercialize, including a low-single-digit percentage royalty on net sales of products covered by our Novimmune CD3 and Novimmune IL-6R license agreements, as well as a low-single-digit royalty on net sales under our license agreement with The Brigham and Women's Hospital, Inc. These royalty obligations will reduce the net revenues we are able to retain from any commercial sales of our product candidates, if approved, and may adversely affect our ability to achieve or sustain profitability. The royalty rates payable under our license agreements are in addition to any royalties or other amounts that may be owed to Bristol-Myers Squibb Company pursuant to the sublicense arrangements underlying our Novimmune licenses, which further reduces the economic benefit we are able to derive from commercialization of our licensed product candidates.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Annual maintenance and diligence costs. We are obligated to pay annual maintenance fees and to reimburse our licensors for ongoing patent prosecution and maintenance costs with respect to the licensed patent portfolios. These costs are incurred on a recurring basis regardless of the stage of development of our product candidates and regardless of whether any licensed patents ultimately provide meaningful commercial protection. We are also obligated to satisfy diligence obligations, including the payment of diligence fees to Bristol-Myers Squibb Company in connection with the Foralumab program, which have been recorded in our financial statements. The aggregate financial burden of our in-license obligations is substantial relative to our current financial resources. As a pre-revenue company, we are required to fund these obligations from our existing cash resources or from the proceeds of future equity or debt financings. There can be no assurance that we will have sufficient capital to satisfy our in-license payment obligations as they become due, or that we will be able to raise additional capital on acceptable terms, or at all, when needed to fund such obligations. If we are unable to meet our payment obligations under our license agreements, our licensors may have the right to terminate the relevant licenses, which would prevent us from developing or commercializing the affected product candidates and could have a material adverse effect on our business, financial condition, results of operations and prospects.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any patent rights are highly uncertain. Our licensed patent applications may not result in patents being issued which protect our technology or product candidates, effectively prevent others from commercializing competitive technologies and product candidates or otherwise provide any competitive advantage. In fact, patent applications may not issue as patents at all. Even assuming patents issue from patent applications in which we have rights, changes in either the patent laws or interpretation of the patent laws in the United States and other countries may diminish the value of our patents or narrow the scope of our patent protection.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We may not be aware of all third-party intellectual property rights potentially relating to our current and future product candidates.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licensed patents and applications were the first to make the inventions claimed in those patents or pending patent applications, or that they were the first to file for patent protection of such inventions. Similarly, should we own any patents or patent applications in the future, we may not be certain that we were the first to file for patent protection for the inventions claimed in such patents or patent applications. As a result, the issuance, scope, validity and commercial value of our patent rights cannot be predicted with any certainty.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licensed patents have, or that any of our pending licensed patent applications that mature into issued patents will include, claims with a scope sufficient to protect our product candidates or otherwise provide any competitive advantage. In addition, the laws of foreign countries may not protect our rights to the same extent as the laws of the United States. Furthermore, patents have a limited lifespan. In the United States, the natural expiration of a patent is generally 20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licensed patent portfolio may not provide us with adequate and continuing patent protection sufficient to exclude others from commercializing products similar to our product candidates, including “highly similar,” or biosimilar, versions of such products. In addition, the intellectual property portfolio licensed to us by Novimmune may be used by them or licensed to third parties, and such third parties may have certain enforcement rights. Thus,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maintain some competitive advantage, third parties, including competitors, may challenge the validity, enforceability or scope thereof, which may result in such patents being narrowed, invalidated or held unenforceable. In litigation, a competitor could claim that our patents, if issued, are not valid for several reasons. If a court agrees, we would lose our rights to those challenged patents.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licensed patents may be challenged in courts or patent offices in the United States and abroad. For example, we may be subject to a third-party submission of prior art to the USPTO challenging the validity of one or more claims of our licensed patents. Such submissions may also be made prior to a patent’s issuance, precluding the granting of a patent based on one of our pending licensed patent applications. We may become involved in opposition, derivation, re-examination, inter partes review, post-grant review or interference proceedings challenging the patent rights of others from whom we have obtained licenses to such rights. Competitors may claim that they invented the inventions claimed in our licensed issued patents or patent applications prior to the inventors of such patents or applications. A competitor who can establish an earlier filing or invention date may also claim that we are infringing their patents and that we therefore cannot practice our technology as claimed under our licensed patents, if issued. Competitors may also contest our licensed patents, if issued, by showing that the invention was not patent-eligible, was not novel, was obvious or that the patent claims failed any other requirement for patentability.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adverse determination by former employees or consultants asserting ownership rights to our patents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product candidates. Such challenges may also result in our inability to manufacture or commercialize our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Even if they are unchallenged, our licensed patents and pending patent applications, if issued, may not provide us with any meaningful protection or prevent competitors from designing around our patent claims to circumvent our licensed patents by developing similar or alternative technologies or therapeutics in a non-infringing manner. For example, a third party may develop a competitive therapeutic that provides benefits similar to one or more of our product candidates but that uses a different antibody or molecular active ingredient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depend, and will continue to depend, on our license agreements whereby we obtain rights in certain patents and patent applications owned by them. Further development and commercialization of our current product candidates may, and development of any future product candidates will, require us to enter into additional license or collaboration agreements.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an adverse effect on our business, financial condition, results of operations and prospects.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our licenses or material relationships or any in-licenses upon which our licenses are based are terminated or breached, we may:</w:t>
      </w:r>
    </w:p>
    <w:p>
      <w:pPr>
        <w:spacing w:after="0" w:line="225"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our rights to develop and market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patent protection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significant delays in the development or commercialization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able to obtain any other licenses on acceptable terms, if at all;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liability for damages.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 third party may in the future bring claims that our performance under our license agreements, including our sponsoring of clinical trials, interferes with such third party’s rights under its agreement with one of our licensors. If any such claim were successful, it may adversely affect our rights and ability to advance our product candidates as clinical candidates or subject us to liability for monetary damages, any of which would have an adverse effect on our business, financial condition, results of operations and prospects.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risks apply to any agreements that we may enter into in the future for our current or any future product candidates. If we experience any of the foregoing, it could have a negative impact on our business, financial condition, results or operations and prospects.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license agreements with third parties and may need to obtain additional licenses from one or more of these same third parties or from others to advance our research or allow commercialization of our product candidates. It is possible that we may be unable to obtain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our product candidates, which would harm our business. We cannot provide any assurances that third-party patents or other intellectual property rights do not exist which might be enforced against our current product candidates or future product candidates, resulting in either an injunction prohibiting our manufacture or sales, or, with respect to our sales, an obligation on our part to pay royalties and/or other forms of compensation to third parties.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each of our existing license agreements, and we expect in our future agreements, patent prosecution of our licensed technology is controlled solely by the licensor, and we may be required to reimburse the licensor for their costs of patent prosecution.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Our license agreement with Novimmune also requires us to meet development thresholds to maintain the license, including establishing a set timeline for developing and commercializing product candidates. Disputes may arise regarding intellectual property subject to a licensing agreement, including:</w:t>
      </w:r>
    </w:p>
    <w:p>
      <w:pPr>
        <w:spacing w:after="0" w:line="187"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pursuant to our collaborative development relationships;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agreements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have certain rights to the intellectual property, through licenses from third parties, to develop our product candidates. Because our programs may require the use of additional proprietary rights held by these or other third parties, the growth of our business likely will depend, in part, on our ability to acquire, in-license or use these proprietary rights. We may be unable to acquire or in-license any compositions, methods of use, processes or other intellectual property rights from third parties that we identify as necessary for our product candidates.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collaborate with non-profit and academic institutions to accelerate our preclinical R&amp;D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successfully obtain rights to required third-party intellectual property or maintain the existing intellectual property rights we have, we may have to abandon development of our product candidates and our business, financial condition, results of operations and prospects could suffer. Moreover, to the extent that we seek to develop other product candidates in the future, we will likely require acquisition or in-license of additional proprietary rights held by third parties.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as a result of non-compliance with these requirements.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licensed patents and/or applications and any patent rights we may own in the future. We rely on our outside counsel or our licensing partners to pay these fees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an adverse effect on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licensed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Moreover, many countries have compulsory licensing laws under which a patent owner may be compelled to grant licenses to third parties.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and results of operations may be adversely affected.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trade secrets in court.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However, we may not be able to prevent the unauthorized disclosure or use of our technical know-how or other trade secrets by the parties to these agreements, despite the existence generally of confidentiality agreements and other contractual restrictions.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As a result, we could lose our trade secrets.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and security measures, they may still be breached, and we may not have adequate remedies for any breach.</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our trade secrets may otherwise become known or be independently discovered by competitors. Competitors could purchase our product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such trade secrets, from using that technology or information to compete with us. If our trade secrets are not adequately protected so as to protect our market against competitors’ therapeutics, our competitive position could be adversely affected, as could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future collaborators to develop, manufacture, market and sell our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inter partes review before the USPTO. Our competitors or other third parties may assert infringement claims against us, alleging that our therapeutics, manufacturing methods, formulations or administration methods are covered by their patents. Given the vast number of patents in our field of technology, we cannot be certain or guarantee that we do not infringe existing patents or that we will not infringe patents that may be granted in the future. Since this area is competitive and of strong interest to pharmaceutical and biotechnology companies, there will likely be additional patent applications filed and additional patents granted in the future, as well as additional R&amp;D programs expected in the future. Furthermore, because patent applications can take many years to issue, may be confidential for 18 months or more after filing and can be revised before issuance, there may be applications now pending which may later result in issued patents that may be infringed by the manufacture, use, sale or importation of our product candidates and we may or may not be aware of such patents. If a patent holder believes the manufacture, use, sale or importation of one of our product candidates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applications filed before November 29, 2000 and certain applications filed after that date that will not be filed outside the United States may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patents or patents that may be granted in the future, regardless of their merit. There is a risk that third parties may choose to engage in litigation with us to enforce or to otherwise assert their patent or other intellectual property rights against us. Even if we believe such claims are without merit, a court of competent jurisdiction could hold that these third-party patents are valid, enforceable and infringed, which could adversely affect our ability to commercialize our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Similarly, there is no assurance that a court of competent jurisdiction would find that product candidates or our technology did not infringe a third-party patent.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If we are found or believe there is a risk that we may be found, to infringe a third party’s valid and enforceable intellectual property rights, we could be required or may choose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or all of our business operations, which could harm our business. Claims that we have misappropriated the confidential information or trade secrets of third parties could have a similar negative impact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are unpredictable and generally expensive and time-consuming. Competitors may infringe our patents or the patents of our licensing partners, should such patents issue, or we may be required to defend against claims of infringement. To counter infringement or unauthorized use claims or to defend against claims of infringement can be expensive and time consuming. Even if resolved in our favor, litigation or other legal proceedings relating to intellectual property claims may cause us to incur significant expenses and could distract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us. Such litigation or proceedings could substantially increase our operating losses and reduce the resources available for development activities or any future sales, marketing or distribution activities.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of our employees, consultants or advisors are currently, or were previously, employed at universities or other biotechnology or pharmaceutical companies, including our competitors or potential competitors, as well as our academic partners.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obtaining necessary regulatory approvals and commercializing our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obtain necessary regulatory approvals and commercialize our product candidates, which would have an adverse effect on our business, results of operations and financial condition. Even if we are successful in defending against such claims, litigation could result in substantial costs and be a distraction to management.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an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U.S. and worldwide, including patent reform legislation such as the Leahy-Smith America Invents Act (the “Leahy-Smith Act”), could increase the uncertainties and costs surrounding the prosecution of our patent applications and the maintenance, enforcement or defense of any issued patents we may own or in-license in the future.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U.S., the first to invent the claimed invention was entitled to the patent, while outside the U.S., the first to file a patent application was entitled to the patent. After March 2013, under the Leahy-Smith Act, the U.S.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patents to issue, all of which could have a material adverse effect on our business, financial condition, results of operations and prospects.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the combination of new federal legislation, federal court decisions, and guidance from the USPTO has created uncertainty with respect to the value of patents, once obtained. Depending on the decisions by the U.S. Congress, federal courts, and the USPTO, the laws and regulations governing patents could change in unpredictable ways that would weaken our ability to obtain new patents or enforce our existing patents and patents we might obtain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do not currently have any registered trademarks and we have not filed any trademark applications to date. Any trademark applications in the United States, Europe and in other foreign jurisdictions where we may file may not be allowed or may subsequently be opposed. Once filed and registered, our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and regulatory exclusivity rights do not necessarily address all potential threats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2" w:lineRule="exact"/>
        <w:rPr>
          <w:sz w:val="20"/>
          <w:szCs w:val="20"/>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but that are not covered by the claims of the patents that we license or may own in the future;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make the inventions covered by the issued patent or pending patent applications that we license or may own in the future;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file patent applications covering certain of our or their inventions;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circumvent our regulatory exclusivities, such as by pursuing approval of a competitive product candidate via the traditional approval pathway based on their own clinical data, rather than relying on the abbreviated pathway provided for biosimilar applicants;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on a non-exclusive basis;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R&amp;D activities in countries where we do not have patent rights and then use the information learned from such activities to develop competitive products for sale in our major commercial markets;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our product candidates and the approval may be for a narrower indication than we seek.</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commercialize a product candidate until the appropriate regulatory authorities have reviewed and approved the product candidate. The FDA must review and approve any new pharmaceutical product before it can be marketed and sold in the United States. The FDA regulatory review and approval process, which includes evaluation of preclinical studies and clinical trials of a product candidate and proposed labeling, as well as the evaluation of the manufacturing process and manufacturers’ facilities, all of which is lengthy, expensive and uncertain. To obtain approval, we must, among other things, demonstrate with substantial evidence from well-controlled clinical trials that the product candidate is both safe and effective for each indication where approval is sought. Even if our product candidates meet the FDA’s safety and effectiveness endpoints in clinical trials, the FDA may not complete their review processes in a timely manner, or we may not be able to obtain regulatory approval. The FDA has substantial discretion in the review and approval process and may refuse to file our application for substantive review or may determine after review of our data that our application is insufficient to allow approval of our product candidates. The FDA may require that we conduct additional preclinical studies, clinical trials or manufacturing validation studies and submit that data before it will reconsider our application.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 EMA or other regulatory authorities also may approve a product candidate for more limited indications than requested or may impose significant limitations in the form of narrow indications, warnings or a REMS. These regulatory authorities may require precautions or contraindications with respect to conditions of use or may grant approval subject to the performance of costly post-marketing clinical trials. In addition, the FDA, EMA or other regulatory authorities may not approve the labeling claims that are necessary or desirable for the successful commercialization of our product candidates. Any of the foregoing scenarios could harm the commercial prospects for our product candidates and negatively impact our business, financial condition, results of operations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obtaining regulatory approval of our manufacturing process and facility or disruptions in our manufacturing process may delay or disrupt our product development and commercialization efforts.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do not currently operate manufacturing facilities for clinical or commercial production of our product candidates. Before we can begin to commercially manufacture our product candidates, whether in a third-party facility or in our own facility, if and when established, we must obtain regulatory approval from the FDA for our manufacturing process and facility. A manufacturing authorization must also be obtained from the appropriate European Union regulatory authorities and from other foreign regulatory authorities, as applicable. In order to obtain approval, we will need to ensure that all of our processes, methods and equipment are compliant with cGMP, and perform extensive audits of vendors, contract laboratories and suppliers. If any of our vendors, contract laboratories or suppliers are found to be non-compliant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assurance to confirm that the product meets applicable specifications and other requirements. If we fail to comply with these requirements, we would be subject to possible regulatory action and may not be permitted to sell any product candidate that we may develop.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or our third-party manufacturers fail to comply with applicable cGMP regulations, the FDA, EMA, MHRA and other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if the supply of our products from our third-party manufacturers to us is interrupted for any reason, including due to regulatory requirements or actions (including recalls), adverse financial developments at or affecting the supplier, failure by the supplier to comply with cGMPs, contamination, business interruptions or labor shortages or disputes, there could be a significant disruption in commercial supply of our products. We do not currently have a backup manufacturer of our product candidate supply for clinical trials or commercial sale. An alternative manufacturer would need to be qualified through a supplement to its regulatory filing, which could result in further delays. The regulatory authorities also may require additional clinical trials if a new manufacturer is relied upon for commercial production. Switching manufacturers may involve substantial costs and could result in a delay in our desired clinical and commercial timelines.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single contract manufacturing organization for our product candidates, and the loss of any such sole source manufacturer could materially disrupt our clinical development programs and harm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rely on a single CMO for the manufacture of each of our product candidates. We do not maintain a backup or alternative manufacturing source for any of our product candidates. If our sole source CMO for any product candidate becomes unable or unwilling to supply clinical or commercial quantities of such product candidate, we would have no immediately available alternative source of supply. In such circumstances, we would be required to identify, qualify and engage a replacement manufacturer, a process that is time-consuming, costly and highly uncertain. Qualifying a new CMO for a biologic product such as Foralumab requires, among other things, technology transfer, process validation, analytical method transfer and the demonstration of comparability between material produced by the new manufacturer and material produced by the prior manufacturer. This process can be lengthy and may require us to conduct additional clinical studies to demonstrate that product manufactured by the new CMO is clinically comparable to product manufactured by the prior CMO.</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any replacement manufacturer would be required to obtain regulatory approval of its manufacturing facilities and processes before it could supply product for use in our clinical trials or for commercial sale. The FDA, EMA and other regulatory authorities must inspect and approve any new manufacturing facility, and there can be no assurance that any such approval would be obtained in a timely manner, or at all. A prolonged interruption in the supply of any of our product candidates could delay or suspend our ongoing or planned clinical trials, impair our ability to meet regulatory submission timelines and, if any of our product candidates receive marketing approval, prevent us from supplying commercial quantities of such product.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risk of supply interruption is further heightened by the specialized nature of biologics manufacturing. Foralumab is a fully human anti-CD3 monoclonal antibody, and the manufacture of such biologics requires highly specialized expertise, equipment and facilities that are not widely available. There is a limited number of CMOs with the technical capability and regulatory track record required to manufacture biologics of this complexity. As a result, even if we were able to identify a potential replacement manufacturer, we may be unable to engage such manufacturer on commercially reasonable terms, or at all, and the transition to a new manufacturer could be significantly more difficult and costly than anticipated.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interruption in the supply of our product candidates, or any failure by our sole source CMO to manufacture our product candidates in accordance with applicable regulatory requirements, could have a material adverse effect on our business, financial condition, results of operations and prospects.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are able to obtain orphan drug exclusivity for products that constitute the same drug and treat the same indications as our product candidates, we may not be able to have competing products approved by applicable regulatory authorities for a significant period of time. In addition, even if we obtain orphan drug exclusivity for any of our products, such exclusivity may not protect us from competition.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European Union, may designate products for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European Union. Additionally, orphan drug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designation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FDA, the MHRA or the EMA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ten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183" w:lineRule="exact"/>
        <w:rPr>
          <w:sz w:val="20"/>
          <w:szCs w:val="20"/>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consents to a second orphan medicinal product application;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sufficient quantities of orphan medicinal product.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 candidates will remain subject to regulatory oversight.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 if we obtain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quality, safety and clinical effectiveness of the product.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of our product candidates are classified as biologics in the United States, and therefore, can only be sold if we obtain a BLA from the FDA. The holder of an approved BLA also must submit new or supplemental applications and obtain FDA approval for certain changes to the approved product, product labeling or manufacturing process. In addition, the holder of a BLA must comply with the FDA’s advertising and promotion requirements, such as those related to the prohibition on promoting products for uses or in patient populations that are not described in the product’s approved labeling (known as “off-label use”). Advertising and promotional materials must comply with FDA rules and are subject to FDA review, in addition to other potentially applicable federal and state laws.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if a regulatory authority disagrees with the promotion, marketing or labeling of that product (in addition to our being obligated as holder of a BLA to monitor and report adverse events and any failure of a product to meet the BLA specifications), a regulatory authority may impose restrictions relative to that product, the manufacturing facility or us, including requiring recall or withdrawal of the product from the market or suspension of manufacturing.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our product candidates, a regulatory or enforcement authority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w:t>
      </w:r>
    </w:p>
    <w:p>
      <w:pPr>
        <w:spacing w:after="0" w:line="207"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warning letter asserting that we are in violation of the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BLA or comparable foreign marketing application (or any supplements thereto) submitted by us or our strategic partners;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product or otherwise require the withdrawal of the product from the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the product;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FDA’s policies, and those of the EMA, MHRA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negatively impact our business, financial condition, results of operations and prospects.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product candidates in a major pharmaceutical market such as the United States, we may never obtain approval for our product candidates in other major markets.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order to market any products in a country or territory, we must establish and comply with numerous and varying regulatory requirements of such countries or territories regarding safety and effectiveness.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For example, in many jurisdictions outside of the United States, a product candidate must be approved for reimbursement before it can be approved for sale in that jurisdiction. In some cases, the price that we intend to charge for our products would also be subject to approval.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any jurisdiction, whether in the United States, Europe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 candidates will be compromised.</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 conditional marketing authorization in Europe for some or all of our current product candidates, but we may not be able to obtain or maintain such designation.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its marketing authorization process, both the EMA and MHRA may grant marketing authorizations for certain categories of medicinal products on the basis of less complete data than is normally required, when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may apply to medicinal products for human use that fall under the jurisdiction of the EMA or MHRA, including those that aim at the treatment, the prevention, or the medical diagnosis of seriously debilitating or life-threatening diseases and those designated as orphan medicinal products.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conditional marketing authorization may be granted when the CHMP finds that, although comprehensive clinical data referring to the safety and therapeutic utility of the medicinal product have not been supplied, all the following requirements are met:</w:t>
      </w:r>
    </w:p>
    <w:p>
      <w:pPr>
        <w:spacing w:after="0" w:line="162"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balance of the medicinal product is positive;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likely that the applicant will be in a position to provide the comprehensive clinical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unmet medical needs will be fulfilled;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to public health of the immediate availability on the market of the medicinal product concerned outweighs the risk inherent in the fact that additional data is still required.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granting of a conditional marketing authorization is restricted to situations in which only the clinical part of the application is not yet fully complete. Incomplete preclinical or quality data may only be accepted if duly justified and only in the case of a product intended to be used in emergency situations in response to public 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Granting a conditional marketing authorization allows medicines to reach patients with unmet medical needs earlier than might otherwise be the case and will ensure that additional data on a product is generated, submitted, assessed and acted upon.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negative impact on our business and 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or the MMA, changed the way Medicare covers and pays for pharmaceutical products. The MMA expanded Medicare coverage for outpatient drug purchases by adding a new Medicare Part D program and introduced a new reimbursement methodology based on average sales prices for Medicare Part B physician-administered drugs. In addition, the MMA authorized Medicare Part D prescription drug plans to limit the number of drugs that will be covered in any therapeutic class in their formularies. The MMA’s cost reduction initiatives and other provisions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 Similar regulations or reimbursement policies may be enacted in international markets, which could similarly impact our business.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example, in 2010, the Affordable Care Act, or the ACA, was enacted in the United States. Among other provisions,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the entities eligible for discounts under the 340B drug pricing program; increased the statutory minimum rebates a manufacturer must pay under the Medicaid Drug Rebate Program; established a new Patient-Centered Outcomes Research Institute to oversee, identify priorities in and conduct comparative clinical effectiveness research, along with funding for such research; and established a Center for Medicare &amp; Medicaid Innovation at the Centers for Medicare &amp; Medicaid Services, or CMS, to test innovative payment and service delivery models to lower Medicare and Medicaid spending.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in the United States, the Biologics Price Competition and Innovation Act of 2009 created an abbreviated approval pathway for biologic products that are demonstrated to be biosimilar or “interchangeable” with an FDA-approved biologic product. This new pathway could allow competitors to reference data from biologic products already approved after 12 years from the time of approval. This could expose us to potential competition by lower-cost biosimilars even if we commercialize a product candidate faster than our competitors. Moreover, the creation of this abbreviated approval pathway does not preclude or delay a third party from pursuing approval of a competitive product candidate via the traditional approval pathway based on their own clinical trial data.</w:t>
      </w:r>
    </w:p>
    <w:p>
      <w:pPr>
        <w:spacing w:after="0" w:line="187" w:lineRule="exact"/>
        <w:rPr>
          <w:sz w:val="20"/>
          <w:szCs w:val="20"/>
          <w:color w:val="auto"/>
        </w:rPr>
      </w:pPr>
    </w:p>
    <w:p>
      <w:pPr>
        <w:jc w:val="both"/>
        <w:ind w:firstLine="722"/>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beginning April 1, 2013, Medicare payments to providers were reduced under the sequestration required by the Budget Control Act of 2011, which will remain in effect through the 2032 fiscal year, unless additional Congressional action is taken. Additionally, on January 2, 2013, the American Taxpayer Relief Act of 2012 was signed into law, which, among other things, further reduced Medicare payments to several types of providers. On March 11, 2021, the American Rescue Plan Act of 2021 was signed into law, which eliminated the statutory cap on drug manufacturers’ Medicaid drug rebate liability, beginning January 1, 2024. The rebate was previously capped at 100% of a drug’s average manufacturer price. 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assistance programs, and reform government program reimbursement methodologies for products.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Most significantly, the Inflation Reduction Act, or the IRA, was enacted in 2022.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to penalize price increases that outpace inflation (first due in 2023), redesigns the Medicare Part D benefit (beginning in 2025), and replaces the Part D coverage gap discount program with a new discounting program (which began on January 1, 2025). Under the IRA, small molecule drugs and biologics that otherwise qualify for selection first become eligible for price negotiation seven and eleven years, respectively, after U.S. FDA approval. The IRA permits the Secretary of Health and Human Services, or HHS, to implement many of these provisions through guidance, as opposed to regulation, for the initial years. CMS published the negotiated prices for the initial ten drugs, which went into effect in January 2026, and for the subsequent 15 drugs, which will first be effective in 2027, as well as the next 15 drugs that will be subject to price negotiation. Each year thereafter, more Part B and Part D products will become subject to the HHS price negotiation program. HHS has issued and will continue to issue guidance implementing the IRA, although the program is currently subject to legal challenges. While the impact of the IRA on us and the pharmaceutical industry cannot yet be fully determined, it is likely to be significant. Additional drug pricing proposals could appear in future legislation.</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 The Trump administration is also pursuing a two-fold strategy to reduce drug costs in the U.S. While it is unclear whether and how the Trump proposals will be implemented, the Trump policies are likely to have a negative impact on the pharmaceutical industry and on our ability to receive adequate revenues for our product candidates, if approved.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final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state level, state governments have increasingly passed legislation and implemented regulations designed to control pharmaceutical and biological product pricing, including price or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and at least one state board is imposing an upper payment limit. States are also seeking to implement general, across the board price caps for pharmaceuticals, or are seeking to regulate drug distribution.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any of our current and future product candidates, if approved, or put pressure on our product pricing, which could negatively affect our business, financial condition,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 changes that may affect our business include those governing enrollments in federal healthcare programs, reimbursement changes, rules regarding prescription drug benefits under the health insurance exchanges and fraud and abuse and enforcement. Continued implementation of the ACA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each state that does not choose to expand its Medicaid program, there likely will be fewer insured patients overall, which could impact the sales, business and financial condition of manufacturers of branded prescription drugs. Where patients receive insurance coverage under any of the new options made available through the ACA, manufacturers may be required to pay Medicaid rebates on that resulting drug utilization.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there have been judicial and congressional challenges to certain aspects of the ACA, and we expect the current administration and Congress will likely continue to seek legislative and regulatory changes, including repeal and replacement of certain provisions of the ACA. The Trump Administration issued a proposed rule on March 10, 2025 (“Proposed Rule”) amending regulations governing insurance coverages subject to the ACA.</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conjunction with the Proposed Rule, the Centers for Medicare &amp; Medicaid Services (“CMS”) issued a statement explaining that the proposed regulations include “critical and necessary steps to protect people from being enrolled in Marketplace coverage without their knowledge or consent, promote stable and affordable health insurance markets, and ensure taxpayer dollars fund financial assistance only for the people the ACA set out to support.” To support its position, CMS cited a report from the Paragon Health Institute suggesting “4 to 5 million people were improperly enrolled in subsidized ACA coverage in 2024, costing federal taxpayers up to $20 billion.” The impact analysis that accompanies the Proposed Rule shows that the Proposed Rule will reduce enrollment in the ACA plans, reduce the number of people who access premium tax credits and cost-sharing reductions that make coverage more affordable, and limit benefits available to individuals.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Proposed Rule contains a variety of key changes to the regulations governing health insurance subject to the ACA that will impact those seeking to obtain health coverage through state and federal insurance marketplaces (the “Marketplace”). In this regard, the Proposed Rule does the following:</w:t>
      </w:r>
    </w:p>
    <w:p>
      <w:pPr>
        <w:spacing w:after="0" w:line="176" w:lineRule="exact"/>
        <w:rPr>
          <w:sz w:val="20"/>
          <w:szCs w:val="20"/>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insurers to deny coverage to individuals who have past-due premium from prior coverage, allowing insurers to consider past due premium amounts as owed as the initial premium for new coverage.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persons who are Deferred Action for Childhood Arrivals (“DACA”) from eligibility to enroll in a health insurance plans offered on the Marketplace or access premium tax credits and cost-sharing reductions.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CMS to apply a “preponderance of the evidence” standard before terminating an agent for cause as to their agreement with CMS to solicit and sell Marketplace coverage.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the ability of an individual to certify to their income when applying for premium tax credits and cost-sharing reductions, instead requiring income determinations be reconciled with tax filing or other information potentially creating coverage delays and administrative barriers. In addition, if an individual does not file a Federal income tax return for two years, the individual will not be eligible for premium tax credits and cost-sharing reductions.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Institutes income eligibility verifications for premium tax credits and cost-sharing reductions and charges people auto-reenrolled into zero-premium plans a small monthly payment until they confirm their eligibility information.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Adjusts the automatic enrollment hierarchy for individuals.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Shortens the annual open enrollment period from the current period, November 15 to January 15, reducing it by one month, to November 15 to December 15.</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Removes the monthly special enrollment period (“SEP”) for qualified individuals who become eligible for premium tax credits and cost-sharing reductions because their projected household income falls to or below 150% of the federal poverty level, which means that these individuals will have to wait before they can access premium tax credits and cost sharing reductions.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de minimis thresholds for the actuarial value for plans subject to essential health benefits (“EHB”) requirements and for income-based cost-sharing reduction plan variations.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Updates the annual premium adjustment percentage methodology to establish a premium growth measure that according to the Proposed Rule reflects premium growth in all affected markets, increasing the cost of coverage.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insurance companies subject to ACA requirements from providing coverage for services related to a sex-trait modification as an essential health benefit.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Proposed Rule has not yet been enacted, and it is unclear whether it will be enacted in the future.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other legal obligations related to privacy, data protection and data security. Our actual or perceived failure to comply with such obligations could harm our business.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diverse laws and regulations relating to data privacy and security in the UK and EU, including the EU and UK GDPR. New global privacy rules are being enacted and existing ones are being updated and strengthened. We are likely to be required to expend capital and other resources to ensure ongoing compliance with these laws and regulations.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EU and UK GDPR applies extraterritorially and implements stringent operational requirements for controllers and processors of personal data. For example, the EU and UK GDPR: (i) require detailed disclosures to data subjects; (ii) require disclosure of the legal basis on which personal data is processed; (iii) make it harder to obtain valid consent for processing; (iv) require the appointment of a data protection officers where sensitive personal data (i.e. health data) is processed on a large scale; (v) provide more robust rights for data subjects; (vi) introduce mandatory data breach notification through the EU and in the UK; (vii) impose additional obligations when contracting with service providers; and (viii) require an appropriate privacy governance framework to be implemented including policies, procedures, training and data audit. The EU GDPR permits Member State derogations for certain issues and, accordingly, we are also subject to EU national laws relating to the processing of certain data such as genetic data, biometric data and data concerning health. Complying with these numerous, complex and often changing regulations is expensive and difficult. Failure by us, or our partners or service providers, to comply with the EU and/or UK GDPR could result in regulatory investigations, enforcement notices and/ or fines of up to the higher of 20,000,000 Euros/17,500,000 GBP or up to 4% of our total worldwide annual turnover. In addition to the foregoing, any breach of privacy laws or data security laws, particularly those resulting in any security incident or breach involving the misappropriation, loss or other unauthorized use or disclosure of sensitive or confidential patient or consumer information, could have a material adverse effect on our business, reputation and financial condition.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 data controller, we are accountable for any third-party data service providers we engage to process personal data on our behalf. We attempt to address the associated risks by performing security assessments, detailed due diligence and regularly performing privacy and security reviews of its vendors and requiring all such third-party providers with data access to sign agreements, including business associate agreements, and where required under EU or UK law, obligating them to only process data according to our instructions and to take sufficient security measures to protect such data.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the fines and penalties outlined above. We are also subject to evolving European privacy laws on electronic marketing and cookies. The UK government made targeted amendments to its data protection regime in the Data (Use and Access) Act 2025, which entered into force in August 2025. Compliance with these and any other applicable privacy, data protection and cybersecurity laws and regulations is a rigorous and time-intensive process, and we may be required to put in place additional mechanisms ensuring compliance with new and evolving laws and regulations. Further, many privacy, data protection, and cybersecurity regimes are evolving and are inconsistent across jurisdictions. If we fail, or are alleged to fail, to comply with any such laws or regulations, we may face regulatory inquiries, investigations, and other proceedings, private claims and litigation, and significant fines and penalties that could adversely affect our business, financial condition and results of operations. In addition, states are constantly adopting new laws or amending existing laws, requiring attention to frequently changing regulatory requirements.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U.K. Bribery Act, the U.S. Foreign Corrupt Practices Act and other anti-corruption laws, as well as export control laws, import and customs laws, trade and economic sanctions laws and other laws governing our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the U.K. Bribery Act, the U.S. Foreign Corrupt Practices Act of 1977, or the FCPA, the U.S. domestic bribery statute contained in 18 §201, the U.S. Travel Act, and other anti-corruption laws that apply in countries where we do business. The U.K. Bribery Act,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Under the U.K. Bribery Act, we may also be liable for failing to prevent a person associated with us from committing a bribery offense. We and our commercial partners operate in a number of jurisdictions that pose a high risk of potential U.K. Bribery Act or FCPA violations, and we participate in collaborations and relationships with third parties whose corrupt or illegal activities could potentially subject us to liability under the U.K.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U.K. Bribery Act, the FCPA or other legal requirements, including Trade Control laws. If we are not in compliance with the U.K.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U.K. Bribery Act, the FCPA, other anti-corruption laws or Trade Control laws by United Kingdom, United States or other authorities could also have an adverse impact on our reputation, our business, results of operations and financial condition.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physicians and third-party payors will be subject, directly or indirectly, to federal and state healthcare fraud and abuse laws, false claims laws, health information privacy and security laws and other healthcare laws and regulations. If we are found in violation of these laws and regulations, we may be required to pay a penalty or be suspended from participation in federal or state healthcare programs, which may adversely affect our business, financial condition and results of operations.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obtain FDA approval for our product candidates and begin commercializing them in the United States, our operations will be directly, or indirectly through our prescribers, customers and purchasers, subject to various federal and state fraud and abuse laws and regulations, including, without limitation, the federal Anti-Kickback Statute, the federal civil and criminal laws and Physician Payments Sunshine Act of 2010 and regulations. These laws will impact, among other things, our proposed sales, marketing and educational programs. In addition, we may be subject to patient privacy laws by both the U.S. federal government and the states in which we conduct our business. The laws that will affect our operations include, but are not limited to:</w:t>
      </w:r>
    </w:p>
    <w:p>
      <w:pPr>
        <w:spacing w:after="0" w:line="183" w:lineRule="exact"/>
        <w:rPr>
          <w:sz w:val="20"/>
          <w:szCs w:val="20"/>
          <w:color w:val="auto"/>
        </w:rPr>
      </w:pPr>
    </w:p>
    <w:p>
      <w:pPr>
        <w:jc w:val="both"/>
        <w:ind w:left="980" w:hanging="324"/>
        <w:spacing w:after="0" w:line="255"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either the referral of an individual, or the purchase, leasing, furnishing or arranging for the purchase, lease or order of a good, facility,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PPACA amended the intent requirement of the federal Anti-Kickback Statute, such that a person or entity no longer needs to have actual knowledge of this statute or specific intent to violate it;</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The PPACA provides, and recent government cases against pharmaceutical and medical device manufacturers support the view that federal Anti-Kickback Statute violations and certain marketing practices, including off-label promotion, may implicate the False Claims Act of 1863;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690" w:gutter="0" w:footer="0" w:header="0"/>
        </w:sectPr>
      </w:pPr>
    </w:p>
    <w:bookmarkStart w:id="40" w:name="page41"/>
    <w:bookmarkEnd w:id="40"/>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among other things, a person from knowingly and willfully executing a scheme or from making false or fraudulent statements to defraud any healthcare benefit program, regardless of the payor (e.g., public or private);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their implementing regulations, which impose certain requirements relating to the privacy, security and transmission of individually identifiable health information without appropriate authorization by entities subject to the rule, such as health plans, health care clearinghouses and health care providers, and their respective business associates that perform certain functions or activities that involve the use or disclosure of protected health information on their behalf;</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transparency laws, including the federal Physician Payment Sunshine Act, that require certain manufacturers of drugs, devices, biologics and medical supplies for which payment is available under Medicare, Medicaid or the Children’s Health Insurance Program, with specific exceptions, to report annually to the CMS information related to: (i) payments or other “transfers of value” made to physicians and teaching hospitals and (ii) ownership and investment interests held by physicians and their immediate family members;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state and local laws that require drug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any of which could adversely affect our ability to operate our business and our results of operations.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substantial costs.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We contract with third parties that conduct operations on our behalf that involve the use of hazardous and flammable materials, including chemicals and biologic materials. Our contractors also produce and dispose of hazardous waste products. We cannot eliminate the risk of contamination or injury from these materials. In the event of contamination or injury resulting from our contractors’ use of hazardous materials, we could be held liable for any resulting damages and any liability could exceed our resources, and our clinical trials or regulatory approvals could be suspended. We also could incur significant costs associated with civil or criminal fines and penalties. Our third-party contractors may not carry specific biological or hazardous waste insurance coverage, and their property, casualty and general liability insurance policies specifically exclude coverage for damages and fines arising from biological or hazardous waste exposure or contamination.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adversely affect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and may fail to capitalize on programs or product candidates that may be a greater commercial opportunity or for which there is a greater likelihood of success.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upon our ability to identify, develop and commercialize product candidates. Research programs to identify new product candidates require substantial technical, financial and human resources. Although a substantial amount of our efforts will focus on the continued preclinical and clinical testing and potential approval of our product candidates, a key element of our long-term growth strategy is to develop and market additional products and product candidates. However, we may fail to identify other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because we have limited resources, we may forego or delay pursuit of opportunities with certain programs or product candidates or for indications that later prove to have greater commercial potential. Our spending on current and future R&amp;D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long-term growth strategy to develop and market additional products and product candidates is heavily dependent on precise, accurate and reliable scientific data to identify, select and develop promising pharmaceutical product candidates and products. Our business decisions may therefore be adversely influenced by improper or fraudulent scientific data sourced from third parties. Any irregularities in the scientific data used by us to determine our focus in R&amp;D of product candidates and products could have a material adverse effect on our business, prospects, financial condition and results of operations.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with respect to a particular product candidate or fail to develop a potentially successful product candidate, which could have a negative impact on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consultants and advisors and to recruit, retain and motivate qualified personnel.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While we have entered into employment agreements with each of our executive officers, any of them could leave our employment at any time. We currently do not have “key person” insurance on any of our employees. The loss of the services of one or more of our current employees might impede the achievement of our research, development and commercialization objectives.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Recruiting and retaining other qualified employees, consultants and advisors for our business, including scientific and technical personnel, also will be critical to our success. We may not be able to attract and retain personnel on acceptable terms given the competition among numerous pharmaceutical and biotechnology companies and academic institutions for individuals with similar skill sets. In addition, failure to succeed in preclinical studies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have an adverse effect on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expected growth in the scale and complexity of our operations, our performance may suffer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December 31, 2025, we had 3 full-time employees, who were engaged in R&amp;D activities. If we are successful in executing our business strategy, we will need to expand our managerial, operational, financial and other systems and resources to manage our operations, continue our R&amp;D activities and, in the longer term, build a commercial infrastructure to support commercialization of any of our product candidates that are approved for sale. Future growth would impose significant added responsibilities on members of management and, to a potentially significant extent, divert our management and business development resources away from their current uses. It is likely that our management, finance, development personnel, systems and facilities currently in place may not be adequate to support this future growth. Our need to effectively manage our operations, growth and any future product candidates requires that we continue to develop more robust business processes and improve our systems and procedures in each of these areas, to attract and retain sufficient numbers of talented employees and to expand the group of contractors we use.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be unable to successfully implement these tasks on a larger scale and, accordingly, may not achieve our research, development and growth goals.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 which could have a material adverse impact on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FDA or EMA regulations or the regulations applicable in other jurisdictions, provide accurate information to the FDA,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EMA or other regulatory authorities, which could result in regulatory sanctions and cause serious harm to our reputation. Additionally, we are subject to the risk that a person could allege fraud or other misconduct, even in none occurred. We have adopted a code of conduct applicable to all of our employees, but it is not always possible to identify and deter employee misconduct, and the precautions we take to detect and prevent these activities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criminal, civil and administrative sanctions, such as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We are also subject to the data privacy regime in the EU, which imposes obligations and restrictions on the collection and use of personal data relating to individuals located in the EU and includes the General Data Protection Regulation, or the GDPR, and any national laws implementing or supplementing the GDPR. If we do not comply with our obligations under the EU privacy regime, we could be exposed to significant fines and we may be the subject of litigation and/or adverse publicity, which could have a material adverse effect on our reputation and business.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current and future product candidates in clinical trials and may face an even greater risk if we commercialize any product candidate that we may develop. For example, we may be sued if our current or future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could incur substantial liabilities. Regardless of merit or eventual outcome, liability claims may result in:</w:t>
      </w:r>
    </w:p>
    <w:p>
      <w:pPr>
        <w:spacing w:after="0" w:line="187"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 that we may develop;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anticipate that we will need to increase our insurance coverage each time we commence a clinical trial and if we successfully commercialize any product candidate. Insurance coverage is increasingly expensive. We may not be able to maintain insurance coverage at a reasonable cost or in an amount adequate to satisfy any liability that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Geopolitical and Global Risks beyond our control.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conflicts, terrorist attacks and international instability could disrupt global markets, supply chains and our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Wars, terrorist attacks and regional conflicts can destabilize economies, disrupt supply chains and drive up energy and raw material costs. The Russia-Ukraine war, ongoing since February 2022, has led to sanctions, trade restrictions and heightened regional uncertainty. Any expansion of the conflict could further impact our European operations and increase costs. In October 2023, the Israel-Hamas war escalated tensions in the Middle East, creating regional instability and market uncertainty this was compounded when the United States and Israel launched coordinated military operations against the Iranian regime on 28 February 2026. The action, focused on the regime’s nuclear facilities, military infrastructure, and leadership. Iran has launched sustained waves of ballistic missiles and drones targeting Israeli population centers as well as U.S. military positions across the region. Iran has made counter-attacks across the Gulf, targeting or impacting multiple Gulf Cooperation Council states—including Bahrain, Kuwait, Oman, Qatar, Saudi Arabia, and the United Arab Emirates—striking energy infrastructure, civilian areas, and locations near U.S. military installations and effectively closing shipping routes via the Strait of Hormuz, the main route for the export of oil and gas for many Gulf States. Although we have no direct operations in these countries and are not directly reliant on oil and gas, the conflicts remains ongoing and their long-term economic and regional geopolitical effects are unpredictable. Such conflicts, along with future geopolitical crises, could disrupt financial markets, weaken supply chains and increase political and social instability. These risks may also amplify the impact of other uncertainties outlined in this Annual Report, further affecting our business, operations and financial performance.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uncertainty, rising interest rates, geopolitical conflicts, trade restrictions and U.S. tariffs on imported goods could adversely impact our business, financial condition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are subject to global economic volatility, including inflation, high energy costs and tightening monetary policies. In 2022, central banks in the U.S., U.K. and Eurozone raised interest rates significantly, increasing financing costs and limiting access to capital. Whilst interest rates are now experiencing a recent downward trend, conflict in the Middle East (which has the potential to accelerate energy price inflation) may end this downward trend temporarily or permanently. This could affect our ability to invest in R&amp;D or fund expansion initiatives. We are exposed to trade policy risks, including tariffs and import restrictions. If the U.S. government imposes new tariffs, duties or trade barriers on life sciences products, raw materials or components our costs could increase and our business could be impacted.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Retaliatory tariffs from other countries could further disrupt supply chains. These risks may necessitate supplier diversification or production adjustments, all of which could increase operational complexity and costs.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Geopolitical conflicts, such as the wars in Ukraine and the Middle East, have heightened supply chain disruptions and increased energy and material costs. Trade restrictions and export controls, as seen during the Russia-Ukraine war, could further restrict the flow of goods and impact our ability to source critical materials.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reduction in U.S. government funding or automatic budget cuts (sequestration) could also delay or reduce spending by universities, government laboratories and private foundations that rely on grants from agencies such as the U.S. National Institutes of Health (NIH).</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shutdowns or prolonged lapses in federal appropriations could materially delay or disrupt our regulatory submissions, clinical trial operations and research funding.</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operations of the FDA and other U.S. federal agencies upon which we depend are funded through annual congressional appropriations. In the event that the U.S. Congress fails to enact appropriations legislation or a continuing resolution prior to the expiration of the prior fiscal year's funding, the federal government may experience a lapse in appropriations, commonly referred to as a government shutdown, during which federal agencies are generally required to cease all non-essential operations and furlough non-essential personnel.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government shutdown could materially and adversely affect our business in a number of ways. The FDA may be unable to accept, review or act upon new or pending regulatory submissions. Although the FDA has historically maintained certain mission-critical functions during prior shutdowns, including activities funded by user fees, there can be no assurance that the FDA will maintain adequate staffing levels or processing timelines during any future shutdown. In addition, a shutdown could disrupt or delay the operations of the NIH and other federal agencies that provide grant funding to academic and research institutions with which we collaborate, including Brigham and Women's Hospital, and could delay the processing of applications for orphan drug designation, fast track designation or breakthrough therapy designation.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44" w:name="page45"/>
    <w:bookmarkEnd w:id="4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Government shutdowns have occurred with increasing frequency in recent years, and we cannot predict the likelihood, duration or scope of any future shutdown. Even a brief shutdown could cause meaningful disruption to our regulatory and development activities, and a prolonged shutdown could have a more severe and lasting impact on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materially affect our results of operations and financial condition.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Owing to the international scope of our operations, fluctuations in exchange rates, particularly between Pounds Sterling and the U.S. dollar, may adversely affect us. Although we are based in the United Kingdom, we may source R&amp;D, manufacturing, consulting and other services from the United States and the European Union. Further, potential future revenue may be derived from abroad, particularly from the United States. As a result, our business and the potential value of our Common shares may be affected by fluctuations in foreign exchange rates not only between the Pounds Sterling and the U.S. dollar, but also the euro, which may have a significant impact on our results of operations and cash flows from period to period. Currently, we do not have any exchange rate hedging arrangements in place.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Artificial Intelligence (AI) Adoption and Compliance</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integration of Artificial Intelligence (AI) in our operations and products presents regulatory, cyber security, liability and competitive risks that could adversely affect our business, financial condition and results of operations. We are increasingly leveraging Artificial Intelligence (AI) and machine learning (ML) technologies in our products, services and internal operations, including in bioinformatics, molecular diagnostics, clinical decision support, automation and supply chain optimization. The deployment of AI presents several regulatory, legal, cyber security and ethical risks that could materially and adversely impact our business. Regulatory authorities, including the U.S. Food and Drug Administration (FDA), the European Medicines Agency (EMA) and other global agencies, are evolving their oversight of AI-driven medical and diagnostic technologies. The lack of clear or harmonized regulations across jurisdictions could result in delays in product approvals, increased compliance costs or the need for additional clinical validation of AI-based products. If regulators impose new AI transparency, validation or algorithm explainability requirements, we may be required to modify or revalidate our AI-based solutions, which could increase costs and delay time-to-market. AI technologies rely on large datasets, including genomic, clinical and patient data, making them susceptible to privacy, security and compliance risks under regulations such as the General Data Protection Regulation (GDPR), the U.S. Health Insurance Portability and Accountability Act (HIPAA) and China’s Data Security Law. A breach, misuse or misinterpretation of AI-generated results could lead to regulatory penalties, litigation and reputational harm. Additionally, the risk of cyber security threats, including AI-driven cyberattacks, data poisoning or adversarial manipulation, could compromise the integrity of our AI models and the security of our systems. AI algorithms can also exhibit bias, errors or inaccuracies if not properly trained or validated. If our AI-based diagnostics or research tools generate false positives, false negatives or unreliable results, this could expose us to liability claims, regulatory scrutiny or loss of customer confidence. AI-based products may also face challenges in intellectual property protection, as evolving laws and patent eligibility criteria for AI-generated inventions may impact our ability to protect proprietary AI models. Furthermore, we rely on third-party AI providers and cloud computing infrastructure for certain AI applications. Any failure, breach or misalignment in AI development partnerships could lead to disruptions in our operations or loss of competitive advantage. Additionally, the rapid evolution of AI in healthcare and life sciences could increase competition from technology firms, startups and established industry players, potentially impacting our market position. If we fail to effectively manage these AI-related risks, including regulatory compliance, data security, algorithmic transparency and liability concerns, our ability to develop and commercialize AI-driven solutions could be limited, which may have a material adverse effect on our business,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secure communication and information systems and are subject to evolving privacy and data security laws.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disruption, breach or failure could adversely affect our business, financial condition and reputation. We depend on secure information systems to conduct business, storing intellectual property, proprietary business data and personally identifiable information (PII) of customers, employees and business partners in our data centers, networks and cloud-based systems. Despite significant investments in cyber security awareness, modernized tools and ongoing updates to security processes, we cannot eliminate the risk of cyber threats. We occasionally experience minor cyber security incidents, with phishing attacks posing a growing threat to customers and employees. Unauthorized access to our systems could result in data theft, intellectual property loss, financial fraud or operational disruptions. Cyber risks include hacker intrusions, ransomware, malware, software failures and cyber terrorism, with an increased threat from state-sponsored cyberattacks due to ongoing geopolitical tensions, such as the Russia-Ukraine war. Russian ransomware groups, for example, have threatened critical infrastructure and organizations involved in retaliatory actions against Russia, increasing the risk of cyber incidents.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significant security breach could lead to business disruptions, regulatory penalties, reputational damage and legal liability. Additionally, we are subject to complex and rapidly evolving data privacy laws across multiple jurisdictions. These include:</w:t>
      </w:r>
    </w:p>
    <w:p>
      <w:pPr>
        <w:spacing w:after="0" w:line="162" w:lineRule="exact"/>
        <w:rPr>
          <w:sz w:val="20"/>
          <w:szCs w:val="20"/>
          <w:color w:val="auto"/>
        </w:rPr>
      </w:pPr>
    </w:p>
    <w:p>
      <w:pPr>
        <w:ind w:left="980" w:right="2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state privacy laws, such as the California Consumer Privacy Act (CCPA) and similar laws in Virginia and Colorado, that impose data processing, consumer rights and breach notification requirements;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privacy regulations, such as the General Data Protection Regulation (GDPR), which restrict data transfers and mandate strict security measures;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new regulations, including comprehensive federal data privacy legislation in the U.S. and additional international privacy laws, which could further complicate compliance.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privacy laws evolve, we may face new compliance obligations, higher operational costs and restrictions on data transfers. Failure to comply with these laws could result in regulatory fines, lawsuits and reputational harm, negatively impacting our business operations and strategic growth plans.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prices of our common shares may be volatile and fluctuate substantially, which could result in substantial losses for holders of our common shares.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market prices of our common shares on the Nasdaq Capital Market may be volatile and fluctuate substantially. The stock market in general and the market for smaller pharmaceutical and biotechnology companies in particular have experienced extreme volatility that has often been unrelated to the operating performance of particular companies. As a result of this volatility, holders our common shares may not be able to sell their common shares at or above the price at which they were purchased. The market price for the common shares may be influenced by many factors, including:</w:t>
      </w:r>
    </w:p>
    <w:p>
      <w:pPr>
        <w:spacing w:after="0" w:line="180"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Foralumab, an anti-IL6R mAb (TZLS-501) and any other future product candidate that we develop;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or developments in laws or regulations applicable to Foralumab, an anti-IL6R mAb (TZLS-501) and any other future product candidates that we develop;</w:t>
      </w:r>
    </w:p>
    <w:p>
      <w:pPr>
        <w:spacing w:after="0" w:line="16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entry into, and the success of, any collaboration agreements with third parties;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products or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biotechnology and pharmaceutical sectors;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shares on the Nasdaq Capital Market;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shares may be delisted from The Nasdaq Capital Market if we fail to comply with continued listing standards.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fail to meet any of the continued listing standards of The Nasdaq Capital Market, our common shares could be delisted from The Nasdaq Capital Market. These continued listing standards include specifically enumerated criteria, such as:</w:t>
      </w:r>
    </w:p>
    <w:p>
      <w:pPr>
        <w:spacing w:after="0" w:line="162"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minimum closing bid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$2.5 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publicly-held common stock with a market value of at least $1 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round-lot stockholders;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Nasdaq’s corporate governance requirements, as well as additional or more stringent criteria that may be applied in the exercise of Nasdaq’s discretionary authority.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fail to comply with Nasdaq’s continued listing standards, we may be delisted and our common shares will trade, if at all, only on the over-the-counter market, such as the OTC Bulletin Board or OTCQX market, and then only if one or more registered broker-dealer market makers comply with quotation requirements. In addition, delisting of our common shares could depress our stock price, substantially limit liquidity of our common shares and materially adversely affect our ability to raise capital on terms acceptable to us, or at all. Finally, delisting of our common shares could result in our common shares becoming a “penny stock” under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we are a foreign corporation, you may not have the same rights as a shareholder in a U.S. corporation.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Bermuda exempted company. Our Memorandum of Association and Bye-laws and the Companies Act 1981 of Bermuda (the “</w:t>
      </w: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 govern our affairs. While many provisions of the Companies Act resemble provisions of the corporation laws of a number of states in the United States, Bermuda law may not as clearly establish your rights and the fiduciary responsibilities of our directors as do statutes and judicial precedent in some U.S. jurisdictions. In addition, apart from three non-executive directors, our directors and officers are not resident in the United States and all or substantially all of our assets are located outside of the United States. As a result, investors may have more difficulty in protecting their interests and enforcing judgments in the face of actions by our management, directors or controlling shareholders than would shareholders of a corporation incorporated in a U.S. jurisdiction.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you should not assume that courts in the country in which we are incorporated or where our assets are located would enforce judgments of U.S. courts obtained in actions against us based upon the civil liability provisions of applicable U.S. federal and state securities laws or would enforce, in original actions, liabilities against us based on those laws.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Shareholders of Bermuda exempted companies such as the Company also have no general rights under Bermuda law to inspect corporate records and accounts other than rights to review the Company’s memorandum of association and bye-laws, financial statements, minutes of the shareholder meetings and the shareholder register. This could make it more difficult for you to obtain the information needed to establish any facts necessary for a shareholder motion or to solicit proxies from other shareholders in connection with a proxy contest.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of all of the above, public shareholders might have more difficulty in protecting their interests in the face of actions taken by management, members of the board of directors or controlling shareholders than they would as public shareholders of a U.S.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U.S. persons who own our securities may have more difficulty in protecting their interests than U.S. persons who are shareholders of a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Companies Act, which applies to the Company, differs in some material respects from laws generally applicable to U.S. corporations and their shareholders. These differences include, but are not limited to, the manner in which directors must disclose transactions in which they have an interest, the rights of shareholders to bring class action and derivative lawsuits, the scope of indemnification available to directors and officers and provisions relating to amalgamations, mergers and acquisitions and takeovers. Holders of our common shares may therefore have more difficulty protecting their interests than would shareholders of a corporation incorporated in a jurisdiction within the U.S.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Generally, the duties of directors and officers of a Bermuda company are owed to the company and not, in the absence of special circumstances, to the shareholders as individuals. Shareholders of Bermuda companies typically do not have rights to take action against directors or officers of the company and may only do so in limited circumstances. Class actions and derivative actions are typically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Other Bermuda Law Considerations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Bermuda “exempted companies” are exempt from certain Bermuda laws restricting the percentage of share capital that may be held by non-Bermudians. However, exempted companies may not participate in certain business transactions, including (1) the acquisition or holding of land in Bermuda except that required for their business and held by way of lease or tenancy for a term not exceeding 50 years or, with the consent of the Minister of Economic Development (the “Minister”) granted in his discretion by way of lease or tenancy for a term not exceeding 21 years in order to provide accommodation or recreational facilities for officers and employees of the Company, (2) the taking of mortgages on land in Bermuda to secure an amount in excess of $50,000 without the consent of the Minister, (3) the acquisition of any bonds or debentures secured by any land in Bermuda, other than certain types of Bermuda government securities or securities issued by Bermuda public authorities or (4) the carrying on of business of any kind in Bermuda, except in furtherance of business carried on outside Bermuda or under license granted by the Minister.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Bermuda companies must comply with the provisions of the Companies Act regulating the payment of dividends and making distributions from contributed surplus. A company may not declare or pay a dividend, or make a distribution out of contributed surplus, if there are reasonable grounds for believing that: (a) the company is, or would after the payment be, unable to pay its liabilities as they become due; or (b) the realizable value of the company’s assets would thereby be less than its liabilities.</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Bermuda Exchange Control Regulation</w:t>
      </w:r>
      <w:r>
        <w:rPr>
          <w:rFonts w:ascii="Times New Roman" w:cs="Times New Roman" w:eastAsia="Times New Roman" w:hAnsi="Times New Roman"/>
          <w:sz w:val="18"/>
          <w:szCs w:val="18"/>
          <w:color w:val="auto"/>
        </w:rPr>
        <w:t>. The permission of the Bermuda Monetary Authority is required, under the provisions of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Act 1972 of Bermuda and related regulations, for all issuances and transfers of shares (which includes our common shares) of Bermuda companies to or from a non-resident of Bermuda for exchange control purposes, other than in cases where the Bermuda Monetary Authority has granted a general permission. The Bermuda Monetary Authority, in its notice to the public dated June 1, 2005, has granted a general permission for the issue and subsequent transfer of any securities of a Bermuda company from and/or to a non-resident of Bermuda for exchange control purposes for so long as any “Equity Securities” of the company (which include our common shares) are listed on an “Appointed Stock Exchange” (which include Nasdaq). In granting the general permission the Bermuda Monetary Authority accepts no responsibility for our financial soundness or the correctness of any of the statements made or opinions expressed in this annual report.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the Company is incorporated in Bermuda, as an exempted company, the Company is classified as a non-resident of Bermuda for exchange control purposes by the Bermuda Monetary Authority. Other than transferring Bermuda Dollars out of Bermuda, there are no restrictions on the Company’s ability to transfer funds into and out of Bermuda or to pay dividends in currency other than Bermuda Dollars to nonresidents of Bermuda who are holders of our common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shareholders, cause us to incur debt or assume contingent liabilities and subject us to other risks.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intend to continue to evaluate various acquisitions and strategic partnerships, including licensing or acquiring complementary drugs, intellectual property rights, technologies or businesses. Any potential acquisition or strategic partnership may entail numerous risks, including:</w:t>
      </w:r>
    </w:p>
    <w:p>
      <w:pPr>
        <w:spacing w:after="0" w:line="162"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drugs of an acquired company, including difficulties associated with integrating new personnel;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drug programs and initiatives in pursuing such a strategic partnership, merger or acquisition;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drugs or drug candidates and regulatory approvals;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drugs sufficient to meet our objectives in undertaking the acquisition or even to offset the associated acquisition and maintenance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an FPI, we are exempt from a number of rules under the U.S. securities laws and are permitted to file less information with the SEC than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companies</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FPI, as defined in the SEC rules and regulations and, consequently, we are not subject to all of the disclosure requirements applicable to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an FPI, we will file an annual report on Form 20-F within four months of the close of each fiscal year ended December 31 and reports on Form 6-K relating to certain material events promptly after we publicly announce these events. However, because of the above exemptions for FPIs, our common shareholders will not be afforded the same protections or information generally available to investors holding shares in public companies organized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While we are an FPI, we are not subject to certain Nasdaq corporate governance rules applicable to U.S. listed companies.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entitled to rely on a provision in Nasdaq’s corporate governance rules that allows us to follow our home country corporate law and the Companies Act with regard to certain aspects of corporate governance. This allows us to follow certain corporate governance practices that differ in significant respects from the corporate governance requirements applicable to U.S. companies listed on Nasdaq.</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example, we are exempt from Nasdaq regulations that require a listed U.S. company to (i) have a majority of the board of directors consist of independent directors, (ii) require non-management directors to meet on a regular basis without management present and (iii) promptly disclose any waivers of the code for directors or executive officers that should address certain specified items.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our Nasdaq listing, our audit committee is required to comply with the provisions of Section 301 of the Sarbanes-Oxley Act and Rule 10A-3 of the Exchange Act, both of which are also applicable to Nasdaq-listed U.S. companies. Because we are an FPI, however, our audit committee is not subject to additional Nasdaq requirements applicable to listed U.S. companies, including an affirmative determination that all members of the audit committee are “independent,” using more stringent criteria than those applicable to us as an FPI. Furthermore, Nasdaq’s corporate governance rules require listed U.S. companies to, among other things, seek shareholder approval for the implementation of certain equity compensation plans and issuances of ordinary shares, which we are not required to follow as an FPI.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FPI status, which would then require us to comply with the Exchange Act’s domestic reporting regime and cause us to incur significant legal, accounting and other expenses.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an FPI, we are not required to comply with all of the periodic disclosure and current reporting requirements of the Exchange Act applicable to U.S. domestic issuers. In order to maintain our current status as an FPI, either (a) a majority of our Common shares must be either directly or indirectly owned of record by non-residents of the United States or (b)(i) a majority of our executive officers or directors cannot be U.S. citizens or residents, (ii) more than 50% of our assets must be located outside the United States and (iii) our business must be administered principally outside the United States. If we lose our status as an FPI, we would be required to comply with the Exchange Act reporting and other requirements applicable to U.S. domestic issuers, which are more detailed and extensive than the requirements for FPIs.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an FPI. As a result, we expect that a loss of FPI status would increase our legal and financial compliance costs and is likely to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of December 31, 2023, we were no longer an emerging growth company within the meaning of the Securities Act of 1933, but still remain a smaller reporting company, and will take advantage of certain reduced reporting requirements.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2023, we were no longer an “emerging growth company”, as defined in the Jumpstart Our Business Startups (JOBS) Act. While we were an emerging growth company, we took advantage of exemptions from various reporting requirements that are applicable to other public companies that are not EGCs, including not being required to comply with the auditor attestation requirements of Section 404 of the Sarbanes-Oxley Act, or Section 404. Even though we are no longer an emerging growth company, we remain exempt from the auditor attestation requirements of Section 404 pursuant to the rules of the SEC, as we remain a non-accelerated filer. We will cease to be a non-accelerated filer if (a) the aggregate market value of our outstanding Ordinary Shares held by non-affiliates as of the last business day of our most recently completed second fiscal quarter is $75m or more and we reported annual net revenues of greater than $100m for our most recently completed fiscal year or (b) the aggregate market value of our outstanding Ordinary Shares held by non-affiliates as of the last business day of our most recently completed second fiscal quarter is $700 m or more, regardless of annual net revenues. If we cease to be non-accelerated filer, we would be subject to the requirement for an annual attestation report by our independent registered public accounting firm on the effectiveness of our internal control over financial reporting.</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remain a “smaller reporting company”, as defined in Rule 405 under the Securities Act, which means that we are not an investment company, an asset-backed issuer, or a majority-owned subsidiary of a parent company that is not a “smaller reporting company” which allows us to take advantage of many of the same exemptions from disclosure requirements, including this Annual Report on Form 20-F. In addition, we are eligible to remain a smaller reporting company for so long as we have a public float of less than $250m measured as of the last business day of our most recently completed second fiscal quarter or a public float of less than $700m as of such date and annual revenues of less than $100m during the most recently completed fiscal year.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 in the event that we decide to make an offering of our common shares.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proper internal controls, our ability to produce accurate financial statements or comply with applicable regulations could be impaired.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404(a) of the Sarbanes-Oxley Act, or Section 404(a), requires that beginning with our second annual report following our IPO, management assess and report annually on the effectiveness of our internal control over financial reporting and identify any material weaknesses in our internal control over financial reporting. Although Section 404(b) of the Sarbanes-Oxley Act, or Section 404(b), requires our independent registered public accounting firm to issue an annual report that addresses the effectiveness of our internal control over financial reporting, we have opted to rely on the exemptions provided as a non-accelerated filer, and consequently will not be required to comply with SEC rules that implement Section 404(b) until such time as we are no longer a non-accelerated filer.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Section 404, we will be required to furnish a report by our senior management on our internal control over financial reporting. However, while we remain a non-accelerated filer, we will not be required to include an attestation report on internal control over financial reporting issued by our independent registered public accounting firm. To prepare for eventual compliance with Section 404, once we no longer qualify as a non-accelerated filer, we will be engaged in a process to document and evaluate our internal control over financial reporting, which is both costly and challenging.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10% or more stockholders and management own a significant percentage of our stock and are able to exercise significant influence over matters subject to stockholder approval.</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our executive officers, directors and 10% or more stockholders, together with their respective affiliates, owned approximately 39% of our outstanding securities. Accordingly, this group of security holders will be able to exert a significant degree of influence over our management and affairs and over matters requiring security holder approval, including the election of our Board of Directors, future issuances of our securities, declaration of dividends and approval of other significant corporate transactions. As a result, if these shareholders were to choose to act together, they would be able to exert significant influence over matters submitted to our shareholders for approval, as well as our management and affairs. For example, these persons, if they choose to act together, would exercise sufficient voting power to influence the election of directors and approve any merger, consolidation or sale of all or substantially all of our assets. This concentration of ownership control may:</w:t>
      </w:r>
    </w:p>
    <w:p>
      <w:pPr>
        <w:spacing w:after="0" w:line="189"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or other business combination involving us that other shareholders may desire.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Claims of U.S. civil liabilities may not be enforceable against us.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incorporated under Bermudan law. The United States and Bermuda do not currently have a treaty providing for recognition and enforcement of judgments in civil and commercial matters. Consequently, a final judgment for payment given by a court in the United States, whether or not predicated solely upon U.S. securities laws, would not automatically be recognized or enforceable in Bermuda. In addition, uncertainty exists as to whether the courts of Bermuda would entertain original actions brought in Bermuda against us or our directors or senior management predicated upon the securities laws of the United States or any state in the United States. Any final and conclusive monetary judgment for a definite sum obtained against us in U.S. courts would be treated by the courts of Bermuda as a cause of action in itself and sued upon as a debt at common law so that no retrial of the issues would be necessary, provided that certain requirements are met. The courts of Bermuda will not automatically accept that the foreign court had jurisdiction and was properly seized of the matter. For a Bermuda court to enforce or recognize a foreign judgment either at common law or under the Judgments (Reciprocal Enforcement) Act 1958 of Bermuda, the foreign court must have had jurisdiction according to Bermuda Conflict of Law principles. Whether these requirements are met in respect of a judgment based upon the civil liability provisions of the U.S. securities laws, including whether the award of monetary damages under such laws would constitute a penalty, is an issue for the court making such decision. If a Bermuda court gives judgment for the sum payable under a U.S. judgment, the Bermuda judgment will be enforceable by methods generally available for this purpose. These methods generally permit the Bermuda court discretion to prescribe the manner of enforcement.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U.S. investors may not be able to enforce against us or our senior management, certain of our board of directors or certain experts named herein (who are residents of countries other than the United States) any judgments obtained in U.S. courts in civil and commercial matters, including judgments under the U.S. federal securities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there could be adverse U.S. federal income tax consequences to U.S. 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Internal Revenue Code of 1986, as amended, or the Code, we will be a PFIC for any taxable year in which (1) 75% or more of our gross income consists of passive income or (2) 50% or more of the average quarterly value of our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 If we are a PFIC for any taxable year during which a U.S. Holder (as defined below under “Material Income Tax Considerations-Material U.S. Federal Income Tax Considerations for U.S. Holders”) holds our shares,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we were not a PFIC for our taxable year ended December 31, 2025 but cannot provide any assurances regarding our PFIC status for any past, current or future taxable years. The determination of whether we are a PFIC is a fact-intensive determination made on an annual basis applying principles and methodologies which in some circumstances are unclear and subject to varying interpretation. In particular, the characterization of our assets as active or passive may depend in part on our current and intended future business plans, which are subject to change. In addition, for our current and future taxable years, the total value of our assets for PFIC testing purposes may be determined in part by reference to the market price of our common shares from time to time, which may fluctuate considerably. Under the income test, our status as a PFIC depends on the composition of our income which will depend on the transactions we enter into in the future and our corporate structure. The composition of our income and assets may also be affected by how, and how quickly, we spend the cash we raise in any offering.</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certain circumstances, a U.S. Holder of shares in a PFIC may alleviate some of the adverse tax consequences described above by making a qualified electing fund, or QEF, election to include in income its pro rata share of the corporation’s income on a current basis. However, a U.S. Holder may make a QEF election with respect to our common shares only if we agree to furnish such U.S. Holder annually with a PFIC annual information statement as specified in the applicable U.S. Treasury Regulations. We currently do not intend to prepare or provide the information that would enable U.S. Holders to make a QEF election if we are treated as a PFIC for any taxable year, and prospective investors should assume that a QEF election will not be available.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further discussion of the PFIC rules and the adverse U.S. federal income tax consequences in the event we are classified as a PFIC, see the section of this report entitled “Material Income Tax Considerations-Material U.S. Federal Income Considerations For U.S. Holders.”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use net operating loss and tax credit carryforwards and certain built-in losses to reduce future tax payments or benefit from favorable U.K. tax legislation.</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U.K. tax resident trading entity, we are subject to U.K. corporate taxation. Due to the nature of our business, we have generated losses since inception. As of December 31, 2025, we had cumulative carryforward tax losses of $86.7m. Subject to any relevant restrictions, we expect these to be available to carry forward and offset against future operating profits. As a company that carries out extensive research and development activities, we benefit from the U.K. research and development tax credit regime for small and medium-sized companies, whereby we are able to surrender the trading losses that arise from our qualifying research and development activities for a payable tax credit of up to 33.35% of eligible research and development expenditures. Qualifying expenditures largely comprise employment costs for research staff, consumables and certain internal overhead costs incurred as part of research projects. Certain subcontracted qualifying research expenditures are eligible for a cash rebate of up to 21.67%. The majority of our pipeline research, clinical trials management and manufacturing development activities are eligible for inclusion within these tax credit cash rebate claims. Our ability to continue to claim payable research and development tax credits in the future may be limited because we may no longer qualify as a small or medium-sized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52" w:name="page53"/>
    <w:bookmarkEnd w:id="5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benefit in the future from the United Kingdom’s “patent box” regime, which allows certain profits attributable to revenues from patented products to be taxed at an effective rate of 10%. We are the exclusive licensee or owner of several patent applications which, if issued, would cover our product candidates, and accordingly, future upfront fees, milestone fees, product revenues and royalties could be taxed at this tax rate. When taken in combination with the enhanced relief available on our research and development expenditures, we expect a long-term lower rate of corporation tax to apply to us. If, however, there are unexpected adverse changes to the U.K. research and development tax credit regime or the “patent box” regime, or for any reason we are unable to qualify for such advantageous tax legislation, or we are unable to use net operating loss and tax credit carryforwards, our tax liability may increase, which could adversely affect our results of operations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tax position could be adversely impacted by changes in tax rates, tax laws, tax practice, tax treaties or tax regulations or changes in the interpretation thereof by the tax authorities in the United Kingdom, the United States and other jurisdictions as well as being affected by certain changes currently proposed by the Organization for Economic Co-operation and Development and their action plan on Base Erosion and Profit Shifting. Such changes may become more likely as a result of recent economic trends in the jurisdictions in which we operate, particularly if such trends continue.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actual effective tax rate may vary from our expectation and that variance may be material. A number of factors may increase our future effective tax rates, including: (1) the jurisdictions in which profits are determined to be earned and taxed; (2) the resolution of issues arising from any future tax audits with various tax authorities; (3) changes in the valuation of our deferred tax assets and liabilities; (4) increases in expenses not deductible for tax purposes, including transaction costs and impairments of goodwill in connection with acquisitions; (5) changes in the taxation of share-based compensation; (6) changes in tax laws or the interpretation of such tax laws, and changes in generally accepted accounting principles; and (7) challenges to the transfer pricing policies related to our structure.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Her Majesty’s Revenue&amp; Customs, or HMRC, the U.S. Internal Revenue Service, or IRS, or another tax authority could challenge our allocation of income by tax jurisdiction and the amounts paid between our affiliated companies pursuant to our intercompany arrangements and transfer pricing policies, including methodologies for valuing developed technology and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tax authority may take the position that material income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High-profile companies can be particularly vulnerable to aggressive application of unclear requirements. Many companies must negotiate their tax bills with tax inspectors who may demand higher taxes than applicable law appears to provide. Contesting such an assessment may be lengthy and costly and if we were unsuccessful in disputing the assessment, the implications could increase our anticipated effective tax rate, where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were originally incorporated under the laws of England and Wales on February 11, 1998, with the goal of leveraging the expertise of our management team as well as Napoleone Ferrara, M.D., Arun Sanyal, M.D., Howard Weiner, M.D. and Kevan Herold, M.D., and to acquire and exploit certain intellectual property in biotechnology. We subsequently changed our name to Tiziana Life Sciences plc in April 2014 as a result of the acquisition of Tiziana Pharma Limited in April 2014. On August 20, 2021 we announced that we had formally commenced a strategic plan to change our corporate structure by establishing Tiziana Life Sciences Ltd, a Bermuda-incorporated company, to become the ultimate parent company of the Tiziana Group. The reorganization was performed under a scheme of arrangement under Part 26 of the UK Companies Act 2006 and became effective on October 20, 2021, at which point all shareholders became shareholders in the new Bermuda company.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registered office is located at Clarendon House, 2 Church Street, Hamilton HM 11, Bermuda and our telephone number is +44 20 7495 2379.</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such as we, that file electronically, with the SEC at www.sec.gov. Our website address is www.tizianalifesciences.com. The reference to our website is an inactive textual reference only and the information contained in, or that can be accessed through, our website is not a part of this annual report.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agent for service of process in the United States is Tiziana Therapeutics, Inc, 8th Floor, 535 Boylston Street, Boston, Massachusetts 02116.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NASDAQ listed (NASDAQ:TLSA) clinical stage biotechnology company that specializes in the developing transformative therapies for neurodegenerative and neuroinflammatory diseases. Our clinical pipeline includes drug assets for Non-Active Secondary Progressive Multiple Sclerosis, Multiple System Atrophy, Alzheimer’s, and Amyotrophic lateral sclerosis. Tiziana is led by a team of highly qualified executives with extensive drug development and commercialization experience.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mission is to design and deliver next generation immunotherapies for neurodegenerative and neuroinflammatory diseases.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employ a lean and virtual research and development, or R&amp;D, model using highly experienced teams of experts for each business function to maximize value accretion by focusing resources on the drug discovery and development processes.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lead immunotherapeutic candidate, Foralumab (TZLS-401), is being developed for Non-Active Secondary Progressive Multiple Sclerosis, Alzheimer’s and other CNS indications. Foralumab is the only fully human anti-CD3 monoclonal antibody under clinical development and is expected to minimize adverse immune responses in patients. We in-licensed the intellectual property from Novimmune SA, or Novimmune, in December 2014, as a potential treatment for neurodegenerative diseases such as Non-Active Secondary Progressive Multiple Sclerosis (na-SPMS), Alzheimer’s disease, Multi system Atrophy (MSA) and Amyotrophic lateral sclerosis (ALS). On November 10, 2022, Tiziana announced a short-term focus on administration of intranasal foralumab for treatment of neurodegenerative diseases, especially na-SPMS, based on positive clinical findings of Expanded Access (EA) SPMS patients at Brigham and Women’s Hospital treated with intranasal foralumab for up to 1 year. As the only fully human anti-CD3 mAb in clinical development, Foralumab has significant potential advantages such as a shorter treatment duration, reduced dosing frequency, convenience of intranasal administration, and reduced immunogenicity. We believe intranasal administration of Foralumab has the potential to reduce inflammation while minimizing the toxicity and related side effects.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Foralumab is being developed as an immunomodulatory agent, with therapeutic benefits of rendering T-cells unable to orchestrate an immune response and induction of immune tolerance via maintenance of regulatory T-cells. There is further potential for Foralumab to be combined with the Company’s TZLS-501, a fully human anti-IL-6R mAB in development to target autoimmune and inflammatory diseases.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announced in 2022, all other assets have been temporarily deprioritized to focus resources on Tiziana’s lead asset, Foralumab.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mission is to bring breakthrough therapies to patients with the aim of treating Non-Active Secondary Progressive Multiple Sclerosis, Alzheimer’s, ALS and other neuroinflammatory and neurodegenerative indications to optimize health outcomes. We believe the following strengths will allow us to continue to pursue this mission:</w:t>
      </w:r>
    </w:p>
    <w:p>
      <w:pPr>
        <w:spacing w:after="0" w:line="172" w:lineRule="exact"/>
        <w:rPr>
          <w:sz w:val="20"/>
          <w:szCs w:val="20"/>
          <w:color w:val="auto"/>
        </w:rPr>
      </w:pPr>
    </w:p>
    <w:p>
      <w:pPr>
        <w:ind w:left="980" w:right="20" w:hanging="324"/>
        <w:spacing w:after="0" w:line="28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Advanced, novel pipeline</w:t>
      </w:r>
      <w:r>
        <w:rPr>
          <w:rFonts w:ascii="Times New Roman" w:cs="Times New Roman" w:eastAsia="Times New Roman" w:hAnsi="Times New Roman"/>
          <w:sz w:val="18"/>
          <w:szCs w:val="18"/>
          <w:color w:val="auto"/>
        </w:rPr>
        <w:t>. We have an advanced pipeline of novel and proprietary drug candidates, including antibodies and small molecules,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address high unmet medical needs in the neuroinflammatory and neurodegenerative markets with significant commercial potential.</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Proprietary technology</w:t>
      </w:r>
      <w:r>
        <w:rPr>
          <w:rFonts w:ascii="Times New Roman" w:cs="Times New Roman" w:eastAsia="Times New Roman" w:hAnsi="Times New Roman"/>
          <w:sz w:val="18"/>
          <w:szCs w:val="18"/>
          <w:color w:val="auto"/>
        </w:rPr>
        <w:t>. Our proprietary technology enables the development of alternative routes of administration of antibodies,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oral delivery. We believe that oral and nasal routes of delivery will alleviate the significant time and cost burden associated with other routes of administration, including intravenous delivery.</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 and engaged network of experts. </w:t>
      </w:r>
      <w:r>
        <w:rPr>
          <w:rFonts w:ascii="Times New Roman" w:cs="Times New Roman" w:eastAsia="Times New Roman" w:hAnsi="Times New Roman"/>
          <w:sz w:val="18"/>
          <w:szCs w:val="18"/>
          <w:color w:val="auto"/>
        </w:rPr>
        <w:t>Our strong relationships with key opinion leaders contribute to our clinical development efforts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 us well to support our products, if approved. Dr. Napoleone Ferrara, Dr. Arun Sanyal, Dr. Kevan Herold, and Dr. Howard Weiner are among the thought leaders on our scientific advisory committee.</w:t>
      </w:r>
    </w:p>
    <w:p>
      <w:pPr>
        <w:spacing w:after="0" w:line="170"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Specialized expertise and focus on oncology and inflammation</w:t>
      </w:r>
      <w:r>
        <w:rPr>
          <w:rFonts w:ascii="Times New Roman" w:cs="Times New Roman" w:eastAsia="Times New Roman" w:hAnsi="Times New Roman"/>
          <w:sz w:val="18"/>
          <w:szCs w:val="18"/>
          <w:color w:val="auto"/>
        </w:rPr>
        <w:t>. Our management team has considerable experience translating technologies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bench to market, and managing the global administration of clinical trials.</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Strong intellectual property and know-how</w:t>
      </w:r>
      <w:r>
        <w:rPr>
          <w:rFonts w:ascii="Times New Roman" w:cs="Times New Roman" w:eastAsia="Times New Roman" w:hAnsi="Times New Roman"/>
          <w:sz w:val="18"/>
          <w:szCs w:val="18"/>
          <w:color w:val="auto"/>
        </w:rPr>
        <w:t>. We believe our proprietary intellectual property portfolio, in-licensed from Novimmune,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us with a substantial competitive advantage for the commercial development of small molecule NCEs, and biologics, as well as expanded possibilities for new development programs in the future. We have retained the worldwide development and commercialization rights to all of our product candidates. We have submitted additional patent applications to further strengthen our intellectual property.</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Lean research and development model, designed to maximize value</w:t>
      </w:r>
      <w:r>
        <w:rPr>
          <w:rFonts w:ascii="Times New Roman" w:cs="Times New Roman" w:eastAsia="Times New Roman" w:hAnsi="Times New Roman"/>
          <w:sz w:val="18"/>
          <w:szCs w:val="18"/>
          <w:color w:val="auto"/>
        </w:rPr>
        <w:t>. We employ a lean and virtual R&amp;D model using highly experienced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teams of experts for each business function to maximize value accretion by focusing resources on the drug discovery and development processes.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goal is to become a leading biotechnology company focused on developing and delivering therapies and related diagnostics for neuroinflammatory and neurodegenerative indications. The key elements of our strategy to achieve this goal are to:</w:t>
      </w:r>
    </w:p>
    <w:p>
      <w:pPr>
        <w:spacing w:after="0" w:line="162" w:lineRule="exact"/>
        <w:rPr>
          <w:sz w:val="20"/>
          <w:szCs w:val="20"/>
          <w:color w:val="auto"/>
        </w:rPr>
      </w:pPr>
    </w:p>
    <w:p>
      <w:pPr>
        <w:jc w:val="both"/>
        <w:ind w:left="980" w:hanging="324"/>
        <w:spacing w:after="0" w:line="256"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intranasally-administered Foralumab for treatment of neurodegenerative diseases, particularly non-active secondary progressive multiple sclerosis (na-SPMS), Alzheimer’s Disease (AD), amyotrophic lateral sclerosis (ALS) and Multi System Atrophy (MSA). Tiziana will continue to supply foralumab for intranasal treatment of EA patients at Brigham and Women’s Hospital and has initiated Phase 2a clinical trials for the treatment of na-SPMS patients, MSA patients and Alzheimer’s patients. In addition, a Phase 2 clinical trial evaluating intranasal foralumab in ALS patients has been accepted for inclusion in the ALS MyMatch Program at the Sean M. Healey &amp; AMG Center for ALS at Mass General Brigham, with enrollment underway at multiple sites within the NEALS Consortium.</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programs have been deprioritised to focus Tiziana’s clinical development efforts on intranasal foralumab for treatment of SPMS and other neurodegenerative disease.</w:t>
      </w:r>
    </w:p>
    <w:p>
      <w:pPr>
        <w:spacing w:after="0" w:line="162" w:lineRule="exact"/>
        <w:rPr>
          <w:sz w:val="20"/>
          <w:szCs w:val="20"/>
          <w:color w:val="auto"/>
        </w:rPr>
      </w:pPr>
    </w:p>
    <w:p>
      <w:pPr>
        <w:jc w:val="both"/>
        <w:ind w:left="980" w:hanging="324"/>
        <w:spacing w:after="0" w:line="258"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product candidate, TZLS-501, a fully human mAb targeting the IL-6 receptor (a biological mAb which may control the proteins involved in cell signaling relevant to many inflammatory diseases and cancers), for treatment of inflammatory and oncology indications especially SSc-ILD. Additional cGMP manufacturing and IND-enabling GLP safety toxicology studies in Cynomolgus monkeys, have been completed evaluation/qualification of hand-held nebulizers for pulmonary administration of TZLS-501 for SSc-ILD treatment have been completed.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activities will continue to be pursued aggressively:</w:t>
      </w:r>
    </w:p>
    <w:p>
      <w:pPr>
        <w:spacing w:after="0" w:line="225" w:lineRule="exact"/>
        <w:rPr>
          <w:sz w:val="20"/>
          <w:szCs w:val="20"/>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development of platform drug delivery technologies that provide competitive advantage over existing approved products, e.g. inhalation delivery and nasal delivery of mAbs.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leverage relationships with key opinion leaders to promote clinical trial success and enhance future commercialization.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Opportunistically identify and acquire or in-license complementary product and technology candidates.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orphan drug, fast track or breakthrough designation for our product candidates where warranted and exploit flexible drug development pathways where feasible within such contexts of rare to ultra-rare orphan diseases.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product candidate pipeline is set forth below: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57495" cy="26060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5749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Foralumab (TZLS-401 formerly known as NI-0401)</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Foralumab is the only fully human anti-CD3 mAb in clinical development, in contrast to the previous non-human or humanized anti-CD3 mAbs. Foralumab targets the CD3 epsilon (CD3ε) receptor, which is a recognized approach for modulating T-Cell response and achieving immunosuppression/immunomodulation. We believe Foralumab could have broad application to autoimmune and inflammatory diseases, such as inflammatory bowel disease such as na-SPMS, ALS, MSA, Alzheimers, Crohn’s disease, type-1 diabetes (T1D) psoriasis and rheumatoid arthritis, where modulation of a T-cell response is desirable. In July 2017, we announced publication of a research article in, Clinical Immunology, entitled: “Oral treatment with Foralumab, a fully human anti-CD3 mAb, prevents skin xenograft rejection in humanized mice.” We believe this is the first-ever published report demonstrating the potential of oral therapy with Foralumab for inflammatory diseases and is based on the landmark discovery by Prof. Howard Weiner of Harvard University, one of our Scientific Advisory Committee members.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April 16, 2018, Tiziana entered into an exclusive license agreement with The Brigham and Women’s Hospital, Inc. relating to a novel formulation of Foralumab dosed in a medical device for nasal administration. An investigational new drug application (IND) for the first-in-human evaluation of the nasal administration of Foralumab in healthy volunteers for progressive multiple sclerosis indication was filed in the second quarter of 2018. Subsequent to IND approval, a single-site, double-blind, placebo-controlled, dose-ranging Phase 1 trial with nasally administered Foralumab at 10, 50 and 250 µg per day, consecutively for 5 days to evaluate biomarkers of immunomodulation of clinical responses was initiated in November 2018. The trial conducted at the Brigham and Women’s Hospital, Harvard Medical School, Boston, MA, in healthy volunteers. 18 subjects received Foralumab treatment and 9 patients received placebo. The study was completed in September 2019. Phase 1 clinical data demonstrated that nasally administered Foralumab, was well-tolerated and no drug-related safety issues were reported at any of the doses. No drug-related changes were observed in vital signs among subjects at predose, during treatment and at discharge. The mean blood pressure (BP) during the 5 days of treatment were; Cohort A (10 µg/d):124/73, Cohort B (50 µg/d): 119/67 and Cohort C (250 µg/d):113/65 compared to placebo:118/67). Heart rates, respiratory rates and oral temperatures were unchanged among the 3 cohorts compared to the placebo. Nasally administered Foralumab at the 50 µg dose suppressed cytotoxic CD8+ as well as perforin secreting CD8+ cells, which have been implicated in neurodegeneration in multiple sclerosis (MS). Treatment at 50 ug stimulated production of anti-inflammatory cytokine IL-10 and suppressed production of pro-inflammatory cytokine IFN-γ. Taken together, the treatment showed significant positive effects on the biomarkers for activation of mucosal immunity, which are capable of inducing site-targeted immunomodulation to elicit anti-inflammatory effects. Based on the results we initiated a Phase 2 trial in non-active secondary progressive MS (na-SPMS) patients starting in Q3 2023.</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enteric-coated capsule formulation using a proprietary and novel technology has been developed for oral administration of Foralumab. cGMP manufacturing of clinical trial materials for a Phase 1 study has been completed and an IND was submitted in March 2019.</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9, 2019, the FDA granted approval to initiate the Phase 1 clinical trial to evaluate the safety and pharmacokinetics of a novel enteric-coated capsule formulation of oral Foralumab at 1.25, 2.5 and 5.0 mg/day as a single ascending dose study. The study was completed in December 2019 at Brigham and Women’s Hospital (Boston, MA USA). A total of 12 subjects were enrolled; 9 received the single dose of foralumab and 3 received placebo. The median age (range) for the oral foralumab subjects was 23 (21 – 55) years, and for the placebo subjects it was 34 (27 – 51). Of the foralumab subjects, 6 were male and 3 were female. All 3 of the placebo subjects were female. No subjects discontinued the study. Formulated Foralumab powder blend encapsulated in enteric-coated capsules was well-tolerated at all doses tested and there were no drug-related safety issues observed even at the highest dose of 5 mg in this trial.</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Tiziana initiated a Phase 1b clinical trial in Crohn’s disease patients to evaluate oral capsules of foralumab, a fully human anti-CD3 monoclonal antibody. The revised protocol allowed for the study of a broader patient population and a shorter dosing period. These protocol amendments or revisions were intended to expedite patient enrollment with study completion targeted for the fourth quarter of 2022. This study was to be the first multiple-dose study with orally administered enteric-coated capsules of foralumab in patients with Crohn’s disease. Due to the refocus of the Company subsequent to the first six months of 2022, this study has been withdrawn to focus on nasal administration studies for the na-SPMS indication.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collaborative clinical study was initiated on November 2, 2020, investigating nasally administered Foralumab either alone or in combination with orally administered dexamethasone in COVID-19 patients in Brazil. In view of the importance and urgency, scientific teams at the Harvard Medical School, Santa Casa de Misericórdia de Santos Hospital (Jabaquara, Santos, Brazil) and at our company closely collaborated to facilitate initiation of this study in expedited time frames. The clinical trial was coordinated by the team at INTRIALS, a leading, full-service Latin America Clinical Research Organization, (CRO) based in Sao Paulo City, Brazil. The trial was completed in January 2021. This trial, the first-ever trial on nasal administration of Foralumab for treatment of COVID-19, is of enormous significance because the underlying scientific approach is to modulate immune system, which is dysregulated and crippled to protect against the virus. All treatments were well-tolerated. There were no grade 3 or 4 severe adverse events (“SAEs”) in any of the cohorts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CT scans of the lungs showed the improvement was approximately double that shown in patients treated with Foralumab as compared to those in the control group. The results of the study were published in the peer-reviewed journal, </w:t>
      </w:r>
      <w:r>
        <w:rPr>
          <w:rFonts w:ascii="Times New Roman" w:cs="Times New Roman" w:eastAsia="Times New Roman" w:hAnsi="Times New Roman"/>
          <w:sz w:val="18"/>
          <w:szCs w:val="18"/>
          <w:i w:val="1"/>
          <w:iCs w:val="1"/>
          <w:color w:val="auto"/>
        </w:rPr>
        <w:t>Frontiers in Immunology</w:t>
      </w:r>
      <w:r>
        <w:rPr>
          <w:rFonts w:ascii="Times New Roman" w:cs="Times New Roman" w:eastAsia="Times New Roman" w:hAnsi="Times New Roman"/>
          <w:sz w:val="18"/>
          <w:szCs w:val="18"/>
          <w:color w:val="auto"/>
        </w:rPr>
        <w:t xml:space="preserve"> entitled “Nasal Administration of Anti-CD3 Monoclonal Antibody (Foralumab) Reduces Lung Inflammation and Blood Inflammatory Biomarkers in Mild to Moderate COVID-19 Patients: A Pilot Study” in August 2021. The study served as “proof of concept” that nasal administration of foralumab could be used to treat systemic inflammatory response related to COVID infection, long-COVID syndromes, and could be used for treatment of other systemic inflammatory diseases. The Company has refocused development of Foralumab for treatment of Crohn’s disease (oral treatment) and progressive MS (nasal treatment) utilizing site specific delivery technologies to limit systemic exposure of foralumab which achieving local delivery to inflamed tissue. Further development has been paused because of the Company’s refocus on administration of nasal foralumab for SPMS and other neurodegenerative diseases.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Multiple Sclerosis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MS is an inflammatory-mediated demyelinating disease of the human central nervous system. The disease develops in young adults with a complex predisposing genetic trait and most likely involves an environmental insult such as a viral infection to trigger the disease. The activation of CD4+ autoreactive T cells and their differentiation are crucial initial steps in the progression of this disease. The therapeutic use of monoclonal antibodies was initially viewed with great skepticism owing to the high rates of sensitization against mouse proteins, their pharmacokinetic properties, and the difficulties in their production. However, most of these problems have been overcome, and monoclonal antibodies are now among the most widely used and promising therapies for MS.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innate immune system plays a central role in the chronic central nervous system inflammation that drives neurological disability in progressive forms of multiple sclerosis, for which there are few effective treatments. The mucosal immune system is a unique tolerogenic organ that provides a physiological approach for the induction of regulatory T cells. Nasal administration of CD3-specific antibody ameliorates disease in a progressive animal model of multiple sclerosis. This effect is IL-10-dependent and is mediated by the induction of regulatory T cells that share a similar transcriptional profile to Tr1 regulatory cells and that suppress the astrocyte inflammatory transcriptional program. Treatment results in an attenuated inflammatory milieu in the central nervous system decreased microglia activation, reduced recruitment of peripheral monocytes, stabilization of the blood-brain barrier, less neurodegeneration, and decreased accumulation of neurologic disability (Mayo, 2016). Patients with non-active secondary progressive MS, demonstrate increased microglial activation that drives disease progression. These nonclinical findings suggest foralumab may be a new therapeutic approach for the treatment of progressive forms of multiple sclerosis. Based on this work, we hypothesize that nasal foralumab will slow disability accumulation and microglial activation measured by PET imaging in non-active secondary progressive multiple sclerosis. Eight patients with non-active SPMS have been treated for 12 or more months with either stabilization or improvement seen, and no clinically significant adverse events.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Binding of foralumab to the T-cell receptor complex, through the nasal route, results in suppression of effector T-cells involved in various inflammatory and autoimmune diseases along with a reduction in inflammatory cytokines and increase in Tregs anti inflammatory cytokines resulting in site-targeted immunomodulation.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260350</wp:posOffset>
            </wp:positionV>
            <wp:extent cx="5357495" cy="3000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5749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Autoimmune and Inflammatory Diseases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Autoimmune diseases are primarily due to a malfunction when the immune system attacks certain cells in the body as foreign invaders. This can result in irreparable damage to critical organs and tissues eventually resulting in autoimmune diseases.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humans, CD3-epsilon is encoded by the CD3ε gene on Chromosome 11. The CD3ε molecule, along with four other membrane-bound polypeptides (CD3-gamma, -delta, -zeta, and -eta) form the CD3 complex, which is associated with the T-cell receptor. Upon antigen bindings, the CD3 complex sends signals through the cell membrane to the cytoplasm inside the T-cell. This leads to activation of the T-cell that rapidly divides to produce new T-cells sensitized to fight the particular antigen to which the TCR was exposed. While T-cell activation is critical for the human immune system to properly fight bacterial, viral or parasitic infections, abnormal T-cell induction can cause and worsen numerous human diseases, including T-cell lymphoma and leukemia, human malignancies, autoimmune disorders, cardiovascular disease and transplant rejection.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Foralumab is the only fully human anti-CD3 mAb in clinical development. Since the discovery of the hybridoma technology, a method to generate large quantities of a single (monoclonal) antibody, the production and manufacture of mAbs has become widely available showing promise in several autoimmune and inflammatory disease clinical trials and therapeutic utility in animal models. The first murine anti-CD3 mAb (IgG2a) was developed and approved by the FDA in 1985 under the name of muromonab, OKT3, (Ortho Kung T3; Orthoclone®) to treat allograft rejection in kidney, liver and heart transplantation by exerting its potent immunosuppressive effects, mainly due to depletion of T-cells in tissues and thereby preventing rejection of the allografts. Subsequently, OKT3 was administered in clinical trials to patients with MS, T1D, inflammatory bowel disease, rheumatoid arthritis and NASH. Although showing promise to alleviate the disease process, the mAb being of murine origin and extremely immunogenic in humans, was associated with a wide range of side effects that included the typical Cytokine Release Syndrome (CRS) or flu-like syndrome, limiting its clinical development. The side effect profile of OKT3 is a consequence of T-cell activation resulting in the release of numerous cytokines into the systemic circulation. These shortcomings of the murine OKT3 led to the development of a new generation of anti-CD3 mAbs using genetic engineering of the mAb structure, as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133350</wp:posOffset>
            </wp:positionV>
            <wp:extent cx="5349240" cy="30003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Foralumab dosed intravenously has been observed to alter T-cell function via antigenic modulation, that is, removal of the CD3/TCR complex from the T-cell surface. Modulation has two therapeutic benefits:</w:t>
      </w:r>
    </w:p>
    <w:p>
      <w:pPr>
        <w:spacing w:after="0" w:line="162" w:lineRule="exact"/>
        <w:rPr>
          <w:sz w:val="20"/>
          <w:szCs w:val="20"/>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transiently renders the T-cells incapable of recognizing an antigen and thus unable to orchestrate an immune response such as an allograft rejection;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 favorable long-term effect on generation and maintenance of regulatory T-cells, a specialized subset of T-cells that promote immunological tolerance.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8" w:name="page59"/>
    <w:bookmarkEnd w:id="5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comparison with the two other anti-CD3 mAbs evaluated in patients with T1D (otelixizumab and teplizumab), Foralumab, being fully human, was less mitogenic (capable of causing cell division), therefore allowing re-treatment, and to have a better risk/benefit profile. As such, Foralumab was previously developed by Novimmune as an intravenous formulation for the treatment of autoimmune indications: Crohn’s disease and in renal allograft recipients.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recent data from studies conducted in the laboratories of our Scientific Advisory Committee members, Prof. Howard Weiner of Harvard University and Prof. Kevan Herold of Yale University, suggest that oral administration of Foralumab has the potential for therapeutic utility while minimizing toxicity associated with intravenous administration, such as Cytokine Release Syndrome (CRS). Importantly, recent clinical studies conducted by Prof. Yaron Ilan with oral administration of anti-CD3 (OKT3; murine mAb) in HCV infected patients (non-respondents) and in NASH patients suggested that the treatment was well-tolerated and produced immunologic effects consistent with potential clinical benefits.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increasing appreciation for the gut-liver cross-talk and of its role in the initiation of NASH-associated inflammation and fibrogenesis has led to the understanding that systemic inflammatory processes can be alleviated by modulating the gut immune system, without inducing generalized immunosuppression. This has been achieved in multiple approaches, including oral administration of fatty liver-derived proteins, anti-CD3 antibodies, TNF, fusion protein, anti-lipopolysaccharide antibodies, glucosylceramide, delayed-release mercaptopurine and soy-derived extracts. Several of these compounds were shown to be effective in patients with NASH.</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Orally administered OKT3 was evaluated in a Phase 2 trial in 36 patients with NASH and type 2 diabetes and was found to be well tolerated. Increases in regulatory T-cell markers consistent with induction of regulatory T-cells was observed as well as increases in other anti-inflammatory markers. Although not powered sufficiently to evaluate efficacy endpoints, positive trends were observed including lowering of liver enzymes and lowering of glucose levels (Lalazar et.al, J. Clin. Immunol. (2015) 34 (4):399-407).</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Animal studies conducted separately by Prof. Howard Weiner and Prof. Kevan Herold demonstrated therapeutic utility of orally administered Foralumab for immune-inflammatory diseases. Our strategy is to build on these findings to develop orally administered Foralumab for the treatment of Crohn’s disease and other autoimmune diseases. We believe Foralumab may also be combined with our other product candidate, TZLS-501, a fully human anti-IL-6R mAb, for the treatment of rheumatoid arthritis and other diseases.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enteric-coated capsule formulation using a proprietary and novel technology has been developed for oral administration of Foralumab. cGMP manufacturing of clinical trial materials for a Phase 1 study has been completed and an IND was submitted in March 2019.</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9, 2019, the FDA granted approval to initiate the Phase I clinical trials to evaluate the safety and pharmacokinetics of oral Foralumab at 1.25, 2.5 and 5.0 mg/day as a single ascending dose study. The study was completed in December 2019 at Brigham and Women’s Hospital (Boston, MA USA). Formulated Foralumab powder blend encapsulated in enteric-coated capsule was well-tolerated at all doses tested and there were no drug-related safety issues observed even at the highest dose of 5 mg in this trial.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Tiziana initiated a Phase 1b clinical trial in Crohn’s disease patients to evaluate oral capsules of foralumab, a fully human anti-CD3 monoclonal antibody. The revised protocol allowed for the study of a broader patient population and a shorter dosing period. These protocol amendments or revisions were intended to expedite patient enrollment with study completion targeted for the fourth quarter of 2022. This study was the first multiple-dose study with orally administered enteric-coated capsules of foralumab in patients with Crohn’s disease. Due to the refocus of the Company subsequent to the first six months of 2022, this study has been withdrawn.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2025, Tiziana announced the submission of its seventh annual Development Safety Update Report (DSUR) to the U.S. Food and Drug Administration (FDA). This DSUR (September 21, 2024, to September 2, 2025), reported no drug-related serious adverse events after a cumulative exposure of 37.4 patient-years, highlighting the safety and tolerability data profile of intranasal foralumab in treating neuroinflammatory diseases, including non-active secondary progressive multiple sclerosis (naSPMS), multiple system atrophy and Alzheimer’s Disease (AD).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highlights from the submission included:</w:t>
      </w:r>
    </w:p>
    <w:p>
      <w:pPr>
        <w:spacing w:after="0" w:line="221" w:lineRule="exact"/>
        <w:rPr>
          <w:sz w:val="20"/>
          <w:szCs w:val="20"/>
          <w:color w:val="auto"/>
        </w:rPr>
      </w:pPr>
    </w:p>
    <w:p>
      <w:pPr>
        <w:ind w:left="980" w:hanging="324"/>
        <w:spacing w:after="0" w:line="28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Expanded Access Program</w:t>
      </w:r>
      <w:r>
        <w:rPr>
          <w:rFonts w:ascii="Times New Roman" w:cs="Times New Roman" w:eastAsia="Times New Roman" w:hAnsi="Times New Roman"/>
          <w:sz w:val="18"/>
          <w:szCs w:val="18"/>
          <w:color w:val="auto"/>
        </w:rPr>
        <w:t>: Fourteen naSPMS patients received nasal foralumab at 50 micrograms per dose (6 days per three-week cycle)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durations from 23 weeks to 3.5 years, contributing 30.7 patient-years of exposure.</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TILS-021 Randomized Trial and TILS-022 Open-Label Extension</w:t>
      </w:r>
      <w:r>
        <w:rPr>
          <w:rFonts w:ascii="Times New Roman" w:cs="Times New Roman" w:eastAsia="Times New Roman" w:hAnsi="Times New Roman"/>
          <w:sz w:val="18"/>
          <w:szCs w:val="18"/>
          <w:color w:val="auto"/>
        </w:rPr>
        <w:t>: In Tiziana’s naSPMS study and its extension, patients have received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foralumab (50 or 100 microgram doses), for about 5.2 patient-years of exposure.</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Single-Patient Expanded Access for AD (IND 172400)</w:t>
      </w:r>
      <w:r>
        <w:rPr>
          <w:rFonts w:ascii="Times New Roman" w:cs="Times New Roman" w:eastAsia="Times New Roman" w:hAnsi="Times New Roman"/>
          <w:sz w:val="18"/>
          <w:szCs w:val="18"/>
          <w:color w:val="auto"/>
        </w:rPr>
        <w:t>: One patient with moderate Alzheimer’s Disease completed 28 weeks of treatment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50 micrograms, adding 0.5 patient-years.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cumulative exposure of 37.4 patient-years underscores the significant clinical experience gained with intranasal foralumab in CNS indications. Notably, no serious adverse events have been attributed to the study drug in these nasal administration studies. Adverse events reported during the period were consistent in type and frequency with previous reports. No new risks were identified that necessitated significant protocol modifications. Such safety profile, if it continues to hold in future development, bodes well for demonstration of favorable benefit-risk in therapeutic areas with high unmet needs including MS where many available therapies still arrive on the market with combination of box warnings and warnings and precautions.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safety profile of intranasal foralumab aligns with prior studies of foralumab administered intravenously (IV) in healthy volunteers, patients with Crohn’s disease, and kidney transplant recipients. Unlike IV administration, which has been linked to infusion-related reactions seen with other anti-CD3 monoclonal antibodies, nasal delivery of foralumab has shown vastly improved tolerability, with no such issues observed. No new actions are required to address foralumab safety based on this update.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258"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1a Clinical Trial for Oral Foralumab in Healthy Volunteers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Phase 1a trial, conducted at the Brigham and Women’s Hospital, Harvard Medical School, Boston, MA, USA, was a single-site, double-blind, placebo-controlled, single ascending dose (“SAD”) study in healthy subjects in which Foralumab was orally administered at 1.25, 2.5 and 5.0 mg per dose as enteric-coated capsules. The primary endpoint of the Phase 1 study is safety and tolerability of Foralumab in humans. Each cohort comprised of 4 subjects, of whom 3 received Foralumab treatment and 1 received a placebo capsule. All subjects completed the trial without any safety concerns at any of the doses.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 Clinical Trial of Nasally-Administered Foralumab for Treatment of Secondary Progressive Multiple Sclerosis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Phase 1 trial, conducted at the Brigham and Women’s Hospital, Harvard Medical School, Boston, MA, was a single-site, double-blind, placebo-controlled, dose-ranging study with nasally administered Foralumab at 10, 50 and 250 µg per day, consecutively for 5 days in healthy volunteers for the treatment of progressive multiple sclerosis (pMS). 18 subjects received Foralumab treatment and 9 patients received placebo. All nasal doses were well tolerated. Biomarker analysis showed significant positive immune effects, that were most prominent in the 50 µg cohort with minimal immunomodulatory effects at the 10 µg and 250 µg doses. Prominent results included:</w:t>
      </w:r>
    </w:p>
    <w:p>
      <w:pPr>
        <w:spacing w:after="0" w:line="183"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was well-tolerated and no drug-related safety issues were reported at any of the doses.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drug-related changes were observed in vital signs among subjects at predose, during treatment and at discharge. The mean blood pressure (BP) during the 5 days of treatment were; Cohort A (10 µg/d):124/73, Cohort B (50 µg/d): 119/67 and Cohort C (250 µg/d):113/65 compared to placebo:118/67). Heart rates, respiratory rates and oral temperatures were unchanged among the 3 cohorts compared to the placebo.</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Nasally administered Foralumab at the 50 µg dose suppressed cytotoxic CD8+ as well as perforin secreting CD8+ cells, which have been implicated in neurodegeneration in multiple sclerosis (MS).</w:t>
      </w:r>
    </w:p>
    <w:p>
      <w:pPr>
        <w:spacing w:after="0" w:line="174"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Treatment at 50 </w:t>
      </w:r>
      <w:r>
        <w:rPr>
          <w:rFonts w:ascii="Arial" w:cs="Arial" w:eastAsia="Arial" w:hAnsi="Arial"/>
          <w:sz w:val="18"/>
          <w:szCs w:val="18"/>
          <w:b w:val="1"/>
          <w:bCs w:val="1"/>
          <w:color w:val="auto"/>
        </w:rPr>
        <w:t>m</w:t>
      </w:r>
      <w:r>
        <w:rPr>
          <w:rFonts w:ascii="Times New Roman" w:cs="Times New Roman" w:eastAsia="Times New Roman" w:hAnsi="Times New Roman"/>
          <w:sz w:val="18"/>
          <w:szCs w:val="18"/>
          <w:color w:val="auto"/>
        </w:rPr>
        <w:t>g stimulated production of anti-inflammatory cytokine IL-10 and suppressed production of pro-inflammatory cytokine IFN-γ.</w:t>
      </w:r>
    </w:p>
    <w:p>
      <w:pPr>
        <w:spacing w:after="0" w:line="16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Taken together, these results suggest stimulation of Tregs that are needed to demonstrate potential efficacy in future trials.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Expanded Access SPMS Patients at Brigham and Women’s Hospital (Boston) with Nasally-Administered Foralumab</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25, 2021 the Company announced that the first expanded access (EA) patient with secondary progressive multiple sclerosis (SPMS) was dosed with nasally administered Foralumab at the Brigham and Women’s Hospital (BWH), Harvard Medical School, Boston, MA. Nasal Foralumab 50 mcg (25 mcg/nostril) was administered in 3-week cycles, with 3 times/week dosing for the first 2 weeks followed by 1 week of rest period. This first-ever clinical study in SPMS patients, under an Individual Patient Expanded Access IND, was to continue for six months to evaluate routine safety, tolerability, and neurological behaviors. The study also examined microglial activation, by positron emission tomography (PET), immunological and neurodegenerative markers to assess clinical responses following the dosing regimen.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27432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743200"/>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10, 2022, the Company reported positive clinical data in the first SPMS EA patient following completion of six months of treatment with intranasally administered foralumab, at the Brigham and Women’s Hospital (BWH), Harvard University, Boston, MA. In addition to being well-tolerated, both biological and clinical improvements were seen in this patient using Tiziana’s novel immunotherapy technology, which, importantly effected immunomodulation in the brain using nasal administration.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Foralumab was given to an SPMS patient intranasally into each nostril on a regimen of M-W-F for two weeks followed by one week off therapy for a period of six months. This regimen was well-tolerated with associated beneficial clinical and biomarker changes. Importantly, the PET imaging data indicated inhibition of microglial cell activation observed at 3 months following treatment initiation and was sustained at 6 months after treatment start (see Table 1). The reduction in microglial activation was seen in all parts of brain.</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Table 1. Percent Reduction* in Activated Microglial Cells (AMCs) PET Signal After Starting Intranasal Foralumab as Compared to Baseline, in Whole Brain and Selected Brain Regions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WHOLE</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CEREBRAL</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WHITE</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BRAIN</w:t>
            </w: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CORTEX</w:t>
            </w:r>
          </w:p>
        </w:tc>
        <w:tc>
          <w:tcPr>
            <w:tcW w:w="260" w:type="dxa"/>
            <w:vAlign w:val="bottom"/>
          </w:tcPr>
          <w:p>
            <w:pPr>
              <w:spacing w:after="0"/>
              <w:rPr>
                <w:sz w:val="20"/>
                <w:szCs w:val="20"/>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THALAMUS</w:t>
            </w:r>
          </w:p>
        </w:tc>
        <w:tc>
          <w:tcPr>
            <w:tcW w:w="2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MATTER</w:t>
            </w:r>
          </w:p>
        </w:tc>
        <w:tc>
          <w:tcPr>
            <w:tcW w:w="26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CEREBELLUM</w:t>
            </w:r>
          </w:p>
        </w:tc>
        <w:tc>
          <w:tcPr>
            <w:tcW w:w="0" w:type="dxa"/>
            <w:vAlign w:val="bottom"/>
          </w:tcPr>
          <w:p>
            <w:pPr>
              <w:spacing w:after="0"/>
              <w:rPr>
                <w:sz w:val="1"/>
                <w:szCs w:val="1"/>
                <w:color w:val="auto"/>
              </w:rPr>
            </w:pPr>
          </w:p>
        </w:tc>
      </w:tr>
      <w:tr>
        <w:trPr>
          <w:trHeight w:val="27"/>
        </w:trPr>
        <w:tc>
          <w:tcPr>
            <w:tcW w:w="4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MONTHS</w:t>
            </w: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 MONTHS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320" w:type="dxa"/>
            <w:vAlign w:val="bottom"/>
            <w:shd w:val="clear" w:color="auto" w:fill="FEFEFE"/>
          </w:tcPr>
          <w:p>
            <w:pPr>
              <w:spacing w:after="0"/>
              <w:rPr>
                <w:sz w:val="18"/>
                <w:szCs w:val="18"/>
                <w:color w:val="auto"/>
              </w:rPr>
            </w:pPr>
          </w:p>
        </w:tc>
        <w:tc>
          <w:tcPr>
            <w:tcW w:w="1100" w:type="dxa"/>
            <w:vAlign w:val="bottom"/>
            <w:shd w:val="clear" w:color="auto" w:fill="FEFEFE"/>
          </w:tcPr>
          <w:p>
            <w:pPr>
              <w:spacing w:after="0"/>
              <w:rPr>
                <w:sz w:val="18"/>
                <w:szCs w:val="18"/>
                <w:color w:val="auto"/>
              </w:rPr>
            </w:pPr>
          </w:p>
        </w:tc>
        <w:tc>
          <w:tcPr>
            <w:tcW w:w="280" w:type="dxa"/>
            <w:vAlign w:val="bottom"/>
            <w:shd w:val="clear" w:color="auto" w:fill="FEFEFE"/>
          </w:tcPr>
          <w:p>
            <w:pPr>
              <w:spacing w:after="0"/>
              <w:rPr>
                <w:sz w:val="18"/>
                <w:szCs w:val="18"/>
                <w:color w:val="auto"/>
              </w:rPr>
            </w:pPr>
          </w:p>
        </w:tc>
        <w:tc>
          <w:tcPr>
            <w:tcW w:w="1100" w:type="dxa"/>
            <w:vAlign w:val="bottom"/>
            <w:shd w:val="clear" w:color="auto" w:fill="FEFEFE"/>
          </w:tcPr>
          <w:p>
            <w:pPr>
              <w:spacing w:after="0"/>
              <w:rPr>
                <w:sz w:val="18"/>
                <w:szCs w:val="18"/>
                <w:color w:val="auto"/>
              </w:rPr>
            </w:pPr>
          </w:p>
        </w:tc>
        <w:tc>
          <w:tcPr>
            <w:tcW w:w="260" w:type="dxa"/>
            <w:vAlign w:val="bottom"/>
            <w:shd w:val="clear" w:color="auto" w:fill="FEFEFE"/>
          </w:tcPr>
          <w:p>
            <w:pPr>
              <w:spacing w:after="0"/>
              <w:rPr>
                <w:sz w:val="18"/>
                <w:szCs w:val="18"/>
                <w:color w:val="auto"/>
              </w:rPr>
            </w:pPr>
          </w:p>
        </w:tc>
        <w:tc>
          <w:tcPr>
            <w:tcW w:w="1120" w:type="dxa"/>
            <w:vAlign w:val="bottom"/>
            <w:shd w:val="clear" w:color="auto" w:fill="FEFEFE"/>
          </w:tcPr>
          <w:p>
            <w:pPr>
              <w:spacing w:after="0"/>
              <w:rPr>
                <w:sz w:val="18"/>
                <w:szCs w:val="18"/>
                <w:color w:val="auto"/>
              </w:rPr>
            </w:pPr>
          </w:p>
        </w:tc>
        <w:tc>
          <w:tcPr>
            <w:tcW w:w="260" w:type="dxa"/>
            <w:vAlign w:val="bottom"/>
            <w:shd w:val="clear" w:color="auto" w:fill="FEFEFE"/>
          </w:tcPr>
          <w:p>
            <w:pPr>
              <w:spacing w:after="0"/>
              <w:rPr>
                <w:sz w:val="18"/>
                <w:szCs w:val="18"/>
                <w:color w:val="auto"/>
              </w:rPr>
            </w:pPr>
          </w:p>
        </w:tc>
        <w:tc>
          <w:tcPr>
            <w:tcW w:w="1100" w:type="dxa"/>
            <w:vAlign w:val="bottom"/>
            <w:shd w:val="clear" w:color="auto" w:fill="FEFEFE"/>
          </w:tcPr>
          <w:p>
            <w:pPr>
              <w:spacing w:after="0"/>
              <w:rPr>
                <w:sz w:val="18"/>
                <w:szCs w:val="18"/>
                <w:color w:val="auto"/>
              </w:rPr>
            </w:pPr>
          </w:p>
        </w:tc>
        <w:tc>
          <w:tcPr>
            <w:tcW w:w="260" w:type="dxa"/>
            <w:vAlign w:val="bottom"/>
            <w:shd w:val="clear" w:color="auto" w:fill="FEFEFE"/>
          </w:tcPr>
          <w:p>
            <w:pPr>
              <w:spacing w:after="0"/>
              <w:rPr>
                <w:sz w:val="18"/>
                <w:szCs w:val="18"/>
                <w:color w:val="auto"/>
              </w:rPr>
            </w:pPr>
          </w:p>
        </w:tc>
        <w:tc>
          <w:tcPr>
            <w:tcW w:w="1280" w:type="dxa"/>
            <w:vAlign w:val="bottom"/>
            <w:shd w:val="clear" w:color="auto" w:fill="FEFEFE"/>
          </w:tcPr>
          <w:p>
            <w:pPr>
              <w:spacing w:after="0"/>
              <w:rPr>
                <w:sz w:val="18"/>
                <w:szCs w:val="18"/>
                <w:color w:val="auto"/>
              </w:rPr>
            </w:pPr>
          </w:p>
        </w:tc>
        <w:tc>
          <w:tcPr>
            <w:tcW w:w="16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26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reduction is based on changes from baseline in SUVR-1, a surrogate index for PET binding potential. SUVR=Standardized Uptake Value Ratio, calculated with reference to a pseudo reference region in cerebral white matter that showed minimal change in PET SUV, across time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3831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t>Consistent with clinical and PET observations, intranasally administered foralumab also downregulated serum levels of pro-inflammatory cytokines, including interferon-gamma (IFN-g), interleukin (IL-18), IL-1β and IL-6, which are associated with multiple sclerosis pathogenesis and progression. Clinical evaluation showed improvement in Timed 25-Foot Walk Test (T25FW), 9-Hole Peg Test (9HPT) and Symbol Digit Modality Test (SDMT). Other published PET studies have shown an increase in activated microglial cells (AMCs) in patients with secondary progressive MS (SPMS), and the increase in AMCs associated with higher scores on the Expanded Disability Status Scale (EDSS), a widely-used scale to measure disability</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Several FDA-approved drugs, such as TYSABRI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MAYZENT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ZEPOSIA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have been shown to suppress microglial activation and exert neuroprotective effects in the central nervous system (CNS) in animal studies but longitudinal assessment of drug effects on microglial activation in exclusive cohorts of SPMS patients are lacking.</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treatment, one patient had continued to experience worsening disease progression despite several MS therapies, including B cell depletion. The patient’s gait and limb strength had been deteriorating over the prior two years. The patient then started on intranasal foralumab, which stabilized his disease course. Tiziana also received FDA authorization to continue treating this patient for an additional 6 months to determine if 12 months of consistent treatment maintains clinical stabilization and provides sustained clinical benefits.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20, 2022, FDA allowed enrollment of a second EA SPMS patient for treatment with intranasal foralumab.</w:t>
      </w:r>
    </w:p>
    <w:p>
      <w:pPr>
        <w:spacing w:after="0" w:line="229"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These data were presented in a virtual Key Opinion Leader (KOL) event hosted by Tiziana on March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2022, entitled “Foralumab Clinical Update in Multiple Sclerosis; A Landmark Study with Intranasal Immunotherapy” featuring four Key Opinion Leaders and a live Q&amp;A session. The company plans to continue treatment of EA SPMS patients at Brigham and Women’s Hospital and elsewhere and continue evaluation of foralumab treatment.</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5, 2022, Tiziana announced that FDA granted permission to enroll up to eight additional (SPMS) Intermediate Size Patient Population EAP with intranasal foralumab. As part of the original treatment plan, the foralumab dose will remain 50 mcg three times a week (MWF), which is the same dose administered previously to the first two SPMS patients. The dosing regimen in this IND also has a provision for dose escalation up to 100 mcg three times a week (MWF) as an option to improve clinical benefit, if needed.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Data from a Secondary Progressive Multiple Sclerosis patient treated with intranasal foralumab were presented on June 2, 2022 at the consortium of multiple sclerosis centers (CMSC) 2022 annual meeting. Dr. Tanuja Chitnis, MD, Professor of Neurology and the Principal investigator of the clinical study at the Brigham and Women’s Hospital (BWH), Boston, MA., presented a poster discussing clinical data from a patient with SPMS, who was treated with intranasal foralumab for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8, 2022, Tiziana announced positive clinical results for the second patient (EA2) in the non-active SPMS Expanded Access (EA) Program following three months of dosing with intranasal foralumab. These results confirm the previously reported data, from the first non-active SPMS patient (EA1) that after three months of treatment, intranasal foralumab. was well-tolerated and improved clinical and PET imaging analyses. The second patient was diagnosed with SPMS in 2014. Since then, the disease has been progressive, resulting in an accumulation of disability. Patient EA2 started ocrelizumab in 2018 and stopped this treatment in 2021. During this time EA2’s non-active SPMS progressed as measured by EDSS worsening from 3.5 in 2018 to 6.0 in 2021. At this point in time EA2 needed a cane to walk 100 meters. Patient EA2 was subsequently enrolled in the intranasal foralumab expanded access program. On September 2022, 8 months after starting treatment with intranasal foralumab, EA2 was able to walk 100 meters without a cane or need to rest. This improved the EDSS from 6.0 to 5.5. EA2’s pyramidal score remained stable during this time. In December 2022, 11 months after starting treatment with intranasal foralumab, EA2 was able to walk 200 meters without a cane or need to rest, resulting in further improvement in EDSS from 5.5 to 5.0. EA2’s pyramidal score continued to remain stable. Lastly preliminary reading of EA2’s 11-month PET Scan (December 2022) demonstrated improvement in microglial activation over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685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685800"/>
                    </a:xfrm>
                    <a:prstGeom prst="rect">
                      <a:avLst/>
                    </a:prstGeom>
                    <a:noFill/>
                  </pic:spPr>
                </pic:pic>
              </a:graphicData>
            </a:graphic>
          </wp:anchor>
        </w:drawing>
        <w:t>On September 20, 2022, Tiziana announced that the second patient (“EA2”) with non-active secondary progressive multiple sclerosis (SPMS) receiving intranasal foralumab had shown additional clinical improvements as measured by the Expanded Disability Status Scale (EDSS), a standard clinical assessment.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12, 2022, Tiziana announced that it planned to submit an Investigational New Drug Application (IND) for a Phase 1 Trial of intranasal foralumab in Alzheimer’s disease patients after receiving an affirmative written response from the FDA on a Pre-Investigational New Drug Application (PIND). Tiziana plans on filing the IND for Alzheimer’s disease by the third quarter of 2023 upon the completion of requested toxicology studies, then starting its Phase 1 program by the end of 2023.</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2, 2022, Tiziana announced the completion of enrollment of the first patient cohort in its Intermediate Size Patient Population Expanded Access Program to evaluate foralumab in non-active SPMS patients.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10, 2022, Tiziana announced its near-term focus on developing intranasal foralumab for inflammatory diseases of the Central Nervous System (CNS) such as non-active SPMS, Alzheimer’s disease and amyotrophic lateral sclerosis (ALS).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November 23, 2022, Tiziana </w:t>
      </w:r>
      <w:r>
        <w:rPr>
          <w:rFonts w:ascii="Times New Roman" w:cs="Times New Roman" w:eastAsia="Times New Roman" w:hAnsi="Times New Roman"/>
          <w:sz w:val="18"/>
          <w:szCs w:val="18"/>
          <w:color w:val="auto"/>
          <w:highlight w:val="white"/>
        </w:rPr>
        <w:t>announced publication of a scientific article in the peer-reviewed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highlight w:val="white"/>
        </w:rPr>
        <w:t>Frontiers in Immunology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entitled “</w:t>
      </w:r>
      <w:r>
        <w:rPr>
          <w:rFonts w:ascii="Times New Roman" w:cs="Times New Roman" w:eastAsia="Times New Roman" w:hAnsi="Times New Roman"/>
          <w:sz w:val="18"/>
          <w:szCs w:val="18"/>
          <w:b w:val="1"/>
          <w:bCs w:val="1"/>
          <w:color w:val="auto"/>
          <w:highlight w:val="white"/>
        </w:rPr>
        <w:t>Nasal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highlight w:val="white"/>
        </w:rPr>
        <w:t xml:space="preserve">administration of anti-CD3 monoclonal antibody modulates effector CD8+ T cell function and induces a regulatory response in T cells in human subjects” </w:t>
      </w:r>
      <w:r>
        <w:rPr>
          <w:rFonts w:ascii="Times New Roman" w:cs="Times New Roman" w:eastAsia="Times New Roman" w:hAnsi="Times New Roman"/>
          <w:sz w:val="18"/>
          <w:szCs w:val="18"/>
          <w:color w:val="auto"/>
          <w:highlight w:val="white"/>
        </w:rPr>
        <w:t>. The study was completed by researchers at the Brigham and</w:t>
      </w:r>
      <w:r>
        <w:rPr>
          <w:rFonts w:ascii="Times New Roman" w:cs="Times New Roman" w:eastAsia="Times New Roman" w:hAnsi="Times New Roman"/>
          <w:sz w:val="18"/>
          <w:szCs w:val="18"/>
          <w:b w:val="1"/>
          <w:bCs w:val="1"/>
          <w:color w:val="auto"/>
          <w:highlight w:val="white"/>
        </w:rPr>
        <w:t xml:space="preserve"> </w:t>
      </w:r>
      <w:r>
        <w:rPr>
          <w:rFonts w:ascii="Times New Roman" w:cs="Times New Roman" w:eastAsia="Times New Roman" w:hAnsi="Times New Roman"/>
          <w:sz w:val="18"/>
          <w:szCs w:val="18"/>
          <w:color w:val="auto"/>
        </w:rPr>
        <w:t>Women’s Hospital</w:t>
      </w:r>
      <w:r>
        <w:rPr>
          <w:rFonts w:ascii="Times New Roman" w:cs="Times New Roman" w:eastAsia="Times New Roman" w:hAnsi="Times New Roman"/>
          <w:sz w:val="18"/>
          <w:szCs w:val="18"/>
          <w:b w:val="1"/>
          <w:bCs w:val="1"/>
          <w:color w:val="auto"/>
          <w:highlight w:val="white"/>
        </w:rPr>
        <w:t xml:space="preserve"> </w:t>
      </w:r>
      <w:r>
        <w:rPr>
          <w:rFonts w:ascii="Times New Roman" w:cs="Times New Roman" w:eastAsia="Times New Roman" w:hAnsi="Times New Roman"/>
          <w:sz w:val="18"/>
          <w:szCs w:val="18"/>
          <w:color w:val="auto"/>
          <w:highlight w:val="white"/>
        </w:rPr>
        <w:t>(BWH) and</w:t>
      </w:r>
      <w:r>
        <w:rPr>
          <w:rFonts w:ascii="Times New Roman" w:cs="Times New Roman" w:eastAsia="Times New Roman" w:hAnsi="Times New Roman"/>
          <w:sz w:val="18"/>
          <w:szCs w:val="18"/>
          <w:b w:val="1"/>
          <w:bCs w:val="1"/>
          <w:color w:val="auto"/>
          <w:highlight w:val="white"/>
        </w:rPr>
        <w:t xml:space="preserve"> </w:t>
      </w:r>
      <w:r>
        <w:rPr>
          <w:rFonts w:ascii="Times New Roman" w:cs="Times New Roman" w:eastAsia="Times New Roman" w:hAnsi="Times New Roman"/>
          <w:sz w:val="18"/>
          <w:szCs w:val="18"/>
          <w:color w:val="auto"/>
        </w:rPr>
        <w:t>Harvard Medical School.</w:t>
      </w:r>
      <w:r>
        <w:rPr>
          <w:rFonts w:ascii="Times New Roman" w:cs="Times New Roman" w:eastAsia="Times New Roman" w:hAnsi="Times New Roman"/>
          <w:sz w:val="18"/>
          <w:szCs w:val="18"/>
          <w:b w:val="1"/>
          <w:bCs w:val="1"/>
          <w:color w:val="auto"/>
          <w:highlight w:val="white"/>
        </w:rPr>
        <w:t xml:space="preserve"> </w:t>
      </w:r>
      <w:r>
        <w:rPr>
          <w:rFonts w:ascii="Times New Roman" w:cs="Times New Roman" w:eastAsia="Times New Roman" w:hAnsi="Times New Roman"/>
          <w:sz w:val="18"/>
          <w:szCs w:val="18"/>
          <w:color w:val="auto"/>
          <w:highlight w:val="white"/>
        </w:rPr>
        <w:t>The goal of the study was</w:t>
      </w:r>
      <w:r>
        <w:rPr>
          <w:rFonts w:ascii="Times New Roman" w:cs="Times New Roman" w:eastAsia="Times New Roman" w:hAnsi="Times New Roman"/>
          <w:sz w:val="18"/>
          <w:szCs w:val="18"/>
          <w:b w:val="1"/>
          <w:bCs w:val="1"/>
          <w:color w:val="auto"/>
          <w:highlight w:val="white"/>
        </w:rPr>
        <w:t xml:space="preserve"> </w:t>
      </w:r>
      <w:r>
        <w:rPr>
          <w:rFonts w:ascii="Times New Roman" w:cs="Times New Roman" w:eastAsia="Times New Roman" w:hAnsi="Times New Roman"/>
          <w:sz w:val="18"/>
          <w:szCs w:val="18"/>
          <w:color w:val="auto"/>
          <w:highlight w:val="white"/>
        </w:rPr>
        <w:t xml:space="preserve">to assess safety and the immune effects of an entirely human, previously uncharacterized nasal anti-CD3 mAb (foralumab) in humans and it’s </w:t>
      </w:r>
      <w:r>
        <w:rPr>
          <w:rFonts w:ascii="Times New Roman" w:cs="Times New Roman" w:eastAsia="Times New Roman" w:hAnsi="Times New Roman"/>
          <w:sz w:val="18"/>
          <w:szCs w:val="18"/>
          <w:i w:val="1"/>
          <w:iCs w:val="1"/>
          <w:color w:val="auto"/>
          <w:highlight w:val="white"/>
        </w:rPr>
        <w:t>in</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i w:val="1"/>
          <w:iCs w:val="1"/>
          <w:color w:val="auto"/>
          <w:highlight w:val="white"/>
        </w:rPr>
        <w:t xml:space="preserve">vitro </w:t>
      </w:r>
      <w:r>
        <w:rPr>
          <w:rFonts w:ascii="Times New Roman" w:cs="Times New Roman" w:eastAsia="Times New Roman" w:hAnsi="Times New Roman"/>
          <w:sz w:val="18"/>
          <w:szCs w:val="18"/>
          <w:color w:val="auto"/>
          <w:highlight w:val="white"/>
        </w:rPr>
        <w:t>stimulatory properties. The findings support Tiziana’s intranasal foralumab platform as a new modality for the treatment of autoimmune and CNS</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color w:val="auto"/>
          <w:highlight w:val="white"/>
        </w:rPr>
        <w:t>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highlight w:val="white"/>
        </w:rPr>
        <w:t xml:space="preserve">On January 3, 2023, Tiziana announced that the second patient (“EA2”) with na-SPMS receiving intranasal foralumab exhibited additional clinical improvements since their last reported improvement in </w:t>
      </w:r>
      <w:r>
        <w:rPr>
          <w:rFonts w:ascii="Times New Roman" w:cs="Times New Roman" w:eastAsia="Times New Roman" w:hAnsi="Times New Roman"/>
          <w:sz w:val="18"/>
          <w:szCs w:val="18"/>
          <w:color w:val="auto"/>
        </w:rPr>
        <w:t>September 2022.</w:t>
      </w:r>
      <w:r>
        <w:rPr>
          <w:rFonts w:ascii="Times New Roman" w:cs="Times New Roman" w:eastAsia="Times New Roman" w:hAnsi="Times New Roman"/>
          <w:sz w:val="18"/>
          <w:szCs w:val="18"/>
          <w:color w:val="auto"/>
          <w:highlight w:val="white"/>
        </w:rPr>
        <w:t xml:space="preserve"> The improvements were measured by EDSS. Before foralumab treatment, EA2’s non-active SPMS disability had progressed and EDSS worsened from 3.5 in 2018 to 6.0 in 2021 despite ocrelizumab therapy. Ocrelizumab was discontinued in 2021. At this point, EA2 required a cane to walk 100 meters. EA2 was subsequently enrolled in the intranasal foralumab Expanded Access program in </w:t>
      </w:r>
      <w:r>
        <w:rPr>
          <w:rFonts w:ascii="Times New Roman" w:cs="Times New Roman" w:eastAsia="Times New Roman" w:hAnsi="Times New Roman"/>
          <w:sz w:val="18"/>
          <w:szCs w:val="18"/>
          <w:color w:val="auto"/>
        </w:rPr>
        <w:t>January 2022.</w:t>
      </w:r>
      <w:r>
        <w:rPr>
          <w:rFonts w:ascii="Times New Roman" w:cs="Times New Roman" w:eastAsia="Times New Roman" w:hAnsi="Times New Roman"/>
          <w:sz w:val="18"/>
          <w:szCs w:val="18"/>
          <w:color w:val="auto"/>
          <w:highlight w:val="white"/>
        </w:rPr>
        <w:t xml:space="preserve"> In </w:t>
      </w:r>
      <w:r>
        <w:rPr>
          <w:rFonts w:ascii="Times New Roman" w:cs="Times New Roman" w:eastAsia="Times New Roman" w:hAnsi="Times New Roman"/>
          <w:sz w:val="18"/>
          <w:szCs w:val="18"/>
          <w:color w:val="auto"/>
        </w:rPr>
        <w:t>September 2022,</w:t>
      </w:r>
      <w:r>
        <w:rPr>
          <w:rFonts w:ascii="Times New Roman" w:cs="Times New Roman" w:eastAsia="Times New Roman" w:hAnsi="Times New Roman"/>
          <w:sz w:val="18"/>
          <w:szCs w:val="18"/>
          <w:color w:val="auto"/>
          <w:highlight w:val="white"/>
        </w:rPr>
        <w:t xml:space="preserve"> 8 months after starting treatment with nasal foralumab, EA2 was able to walk 100 meters without a cane. EDSS score improved from 6.0 to 5.5. EA2’s pyramidal score remained stable during this time. In </w:t>
      </w:r>
      <w:r>
        <w:rPr>
          <w:rFonts w:ascii="Times New Roman" w:cs="Times New Roman" w:eastAsia="Times New Roman" w:hAnsi="Times New Roman"/>
          <w:sz w:val="18"/>
          <w:szCs w:val="18"/>
          <w:color w:val="auto"/>
        </w:rPr>
        <w:t>December 2022,</w:t>
      </w:r>
      <w:r>
        <w:rPr>
          <w:rFonts w:ascii="Times New Roman" w:cs="Times New Roman" w:eastAsia="Times New Roman" w:hAnsi="Times New Roman"/>
          <w:sz w:val="18"/>
          <w:szCs w:val="18"/>
          <w:color w:val="auto"/>
          <w:highlight w:val="white"/>
        </w:rPr>
        <w:t xml:space="preserve"> 11 months after starting treatment with intranasal foralumab, EA2 was able to walk 200 meters without a cane, resulting in an even greater improvement in EDSS; with EDSS falling from a score of 5.5 to 5.0. EA2’s pyramidal score continued to remain stable.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highlight w:val="white"/>
        </w:rPr>
        <w:t>On March 8, 2023, Tiziana announced a publication in the preeminent</w:t>
      </w:r>
      <w:r>
        <w:rPr>
          <w:rFonts w:ascii="Times New Roman" w:cs="Times New Roman" w:eastAsia="Times New Roman" w:hAnsi="Times New Roman"/>
          <w:sz w:val="29"/>
          <w:szCs w:val="29"/>
          <w:color w:val="auto"/>
          <w:highlight w:val="white"/>
          <w:vertAlign w:val="superscript"/>
        </w:rPr>
        <w:t>1</w:t>
      </w:r>
      <w:r>
        <w:rPr>
          <w:rFonts w:ascii="Times New Roman" w:cs="Times New Roman" w:eastAsia="Times New Roman" w:hAnsi="Times New Roman"/>
          <w:sz w:val="18"/>
          <w:szCs w:val="18"/>
          <w:color w:val="auto"/>
          <w:highlight w:val="white"/>
        </w:rPr>
        <w:t xml:space="preserve"> journal, </w:t>
      </w:r>
      <w:r>
        <w:rPr>
          <w:rFonts w:ascii="Times New Roman" w:cs="Times New Roman" w:eastAsia="Times New Roman" w:hAnsi="Times New Roman"/>
          <w:sz w:val="18"/>
          <w:szCs w:val="18"/>
          <w:i w:val="1"/>
          <w:iCs w:val="1"/>
          <w:color w:val="auto"/>
          <w:highlight w:val="white"/>
        </w:rPr>
        <w:t>Proceedings of the National Academy of Sciences</w:t>
      </w:r>
      <w:r>
        <w:rPr>
          <w:rFonts w:ascii="Times New Roman" w:cs="Times New Roman" w:eastAsia="Times New Roman" w:hAnsi="Times New Roman"/>
          <w:sz w:val="18"/>
          <w:szCs w:val="18"/>
          <w:color w:val="auto"/>
          <w:highlight w:val="white"/>
        </w:rPr>
        <w:t xml:space="preserve"> (PNAS), that illustrates the immunological basis of the mechanism of action (MoA) for intranasal foralumab.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highlight w:val="white"/>
        </w:rPr>
        <w:t xml:space="preserve">On March 28, 2023, Tiziana announced it has received feedback based on the </w:t>
      </w:r>
      <w:r>
        <w:rPr>
          <w:rFonts w:ascii="Times New Roman" w:cs="Times New Roman" w:eastAsia="Times New Roman" w:hAnsi="Times New Roman"/>
          <w:sz w:val="18"/>
          <w:szCs w:val="18"/>
          <w:color w:val="auto"/>
        </w:rPr>
        <w:t>U.S. Food and Drug Administration</w:t>
      </w:r>
      <w:r>
        <w:rPr>
          <w:rFonts w:ascii="Times New Roman" w:cs="Times New Roman" w:eastAsia="Times New Roman" w:hAnsi="Times New Roman"/>
          <w:sz w:val="18"/>
          <w:szCs w:val="18"/>
          <w:color w:val="auto"/>
          <w:highlight w:val="white"/>
        </w:rPr>
        <w:t xml:space="preserve"> (FDA) Type C meeting minutes related to the Phase 2 clinical trial of intranasal foralumab in patients with na-SPMS. Tiziana plans to accept the FDA’s recommendations and intends to start a Phase 2 study in the third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 xml:space="preserve">On April 4, 2023, Tiziana announced pre-clinical data on the effects of intranasal anti-CD3 monoclonal antibody in a model of intracerebral hemorrhage (hemorrhagic stroke) demonstrating a behavioral outcome improvement at one month. The data showed that </w:t>
      </w:r>
      <w:r>
        <w:rPr>
          <w:rFonts w:ascii="Times New Roman" w:cs="Times New Roman" w:eastAsia="Times New Roman" w:hAnsi="Times New Roman"/>
          <w:sz w:val="18"/>
          <w:szCs w:val="18"/>
          <w:color w:val="auto"/>
        </w:rPr>
        <w:t>modulation of neuroinflammation</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by induction of FoxP3+ Tregs appeared to have beneficial effect in intracerebral hemorrhage. Dr. Saef Izzy </w:t>
      </w:r>
      <w:r>
        <w:rPr>
          <w:rFonts w:ascii="Times New Roman" w:cs="Times New Roman" w:eastAsia="Times New Roman" w:hAnsi="Times New Roman"/>
          <w:sz w:val="18"/>
          <w:szCs w:val="18"/>
          <w:color w:val="auto"/>
          <w:highlight w:val="white"/>
        </w:rPr>
        <w:t>presented this data from the podium on</w:t>
      </w:r>
      <w:r>
        <w:rPr>
          <w:rFonts w:ascii="Times New Roman" w:cs="Times New Roman" w:eastAsia="Times New Roman" w:hAnsi="Times New Roman"/>
          <w:sz w:val="18"/>
          <w:szCs w:val="18"/>
          <w:color w:val="auto"/>
        </w:rPr>
        <w:t xml:space="preserve"> April 23, 2023 </w:t>
      </w:r>
      <w:r>
        <w:rPr>
          <w:rFonts w:ascii="Times New Roman" w:cs="Times New Roman" w:eastAsia="Times New Roman" w:hAnsi="Times New Roman"/>
          <w:sz w:val="18"/>
          <w:szCs w:val="18"/>
          <w:color w:val="auto"/>
          <w:highlight w:val="white"/>
        </w:rPr>
        <w:t>at the Neurocritical Care Scientific Platform Session at the prestigious Annual</w:t>
      </w:r>
      <w:r>
        <w:rPr>
          <w:rFonts w:ascii="Times New Roman" w:cs="Times New Roman" w:eastAsia="Times New Roman" w:hAnsi="Times New Roman"/>
          <w:sz w:val="18"/>
          <w:szCs w:val="18"/>
          <w:color w:val="auto"/>
        </w:rPr>
        <w:t xml:space="preserve"> American Academy of Neurology </w:t>
      </w:r>
      <w:r>
        <w:rPr>
          <w:rFonts w:ascii="Times New Roman" w:cs="Times New Roman" w:eastAsia="Times New Roman" w:hAnsi="Times New Roman"/>
          <w:sz w:val="18"/>
          <w:szCs w:val="18"/>
          <w:color w:val="auto"/>
          <w:highlight w:val="white"/>
        </w:rPr>
        <w:t>(AAN) conference in</w:t>
      </w:r>
      <w:r>
        <w:rPr>
          <w:rFonts w:ascii="Times New Roman" w:cs="Times New Roman" w:eastAsia="Times New Roman" w:hAnsi="Times New Roman"/>
          <w:sz w:val="18"/>
          <w:szCs w:val="18"/>
          <w:color w:val="auto"/>
        </w:rPr>
        <w:t xml:space="preserve"> Boston,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April 13, 2023, Tiziana </w:t>
      </w:r>
      <w:r>
        <w:rPr>
          <w:rFonts w:ascii="Times New Roman" w:cs="Times New Roman" w:eastAsia="Times New Roman" w:hAnsi="Times New Roman"/>
          <w:sz w:val="18"/>
          <w:szCs w:val="18"/>
          <w:color w:val="auto"/>
          <w:highlight w:val="white"/>
        </w:rPr>
        <w:t>announced its plans to investigate intranasal foralumab for the treatment of Long COVID. The work is supported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foralumab’s well-established role in de-activating microglia cells, a key component in the pathogenesis of this disease. The company intends to enter into a Phase 2a, placebo-controlled trial following positive feedback from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April 20,2023, Tiziana </w:t>
      </w:r>
      <w:r>
        <w:rPr>
          <w:rFonts w:ascii="Times New Roman" w:cs="Times New Roman" w:eastAsia="Times New Roman" w:hAnsi="Times New Roman"/>
          <w:sz w:val="18"/>
          <w:szCs w:val="18"/>
          <w:color w:val="auto"/>
          <w:highlight w:val="white"/>
        </w:rPr>
        <w:t>announced its plan to submit an IND for intranasal foralumab in patients with mild to moderate Alzheimer’s Disease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Q2 2023. Tiziana is also seeking </w:t>
      </w:r>
      <w:r>
        <w:rPr>
          <w:rFonts w:ascii="Times New Roman" w:cs="Times New Roman" w:eastAsia="Times New Roman" w:hAnsi="Times New Roman"/>
          <w:sz w:val="18"/>
          <w:szCs w:val="18"/>
          <w:color w:val="auto"/>
        </w:rPr>
        <w:t>$3,000,000 in non-dilutive funding from a prestigious Alzheimer’s foundation to support the Phase 2a trial. It is expected</w:t>
      </w:r>
      <w:r>
        <w:rPr>
          <w:rFonts w:ascii="Times New Roman" w:cs="Times New Roman" w:eastAsia="Times New Roman" w:hAnsi="Times New Roman"/>
          <w:sz w:val="18"/>
          <w:szCs w:val="18"/>
          <w:color w:val="auto"/>
          <w:highlight w:val="white"/>
        </w:rPr>
        <w:t xml:space="preserve"> that this funding application will receive a response in Q3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-287655</wp:posOffset>
            </wp:positionV>
            <wp:extent cx="508317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83175" cy="12890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highlight w:val="white"/>
        </w:rPr>
        <w:t xml:space="preserve">On June 5, 2023, Tiziana announced 3-month PET scan results from the </w:t>
      </w:r>
      <w:r>
        <w:rPr>
          <w:rFonts w:ascii="Times New Roman" w:cs="Times New Roman" w:eastAsia="Times New Roman" w:hAnsi="Times New Roman"/>
          <w:sz w:val="18"/>
          <w:szCs w:val="18"/>
          <w:color w:val="auto"/>
        </w:rPr>
        <w:t>first patient cohort in its Intermediate Size Patient Population Expanded</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Access Program. Data showed a </w:t>
      </w:r>
      <w:r>
        <w:rPr>
          <w:rFonts w:ascii="Times New Roman" w:cs="Times New Roman" w:eastAsia="Times New Roman" w:hAnsi="Times New Roman"/>
          <w:sz w:val="18"/>
          <w:szCs w:val="18"/>
          <w:color w:val="auto"/>
          <w:highlight w:val="white"/>
        </w:rPr>
        <w:t>reduction in microglial activation in 3 out of 4 patients confirming that previously reported in the first two EA patients.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Overall, 5 of the 6 na-SPMS patients treated with intranasal foralumab in its Expanded Access program have exhibited a reduction in microglial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highlight w:val="white"/>
        </w:rPr>
        <w:t xml:space="preserve">On August 15, 2023, Tiziana announced that the </w:t>
      </w:r>
      <w:r>
        <w:rPr>
          <w:rFonts w:ascii="Times New Roman" w:cs="Times New Roman" w:eastAsia="Times New Roman" w:hAnsi="Times New Roman"/>
          <w:sz w:val="18"/>
          <w:szCs w:val="18"/>
          <w:color w:val="auto"/>
        </w:rPr>
        <w:t>U.S. Food and Drug Administration</w:t>
      </w:r>
      <w:r>
        <w:rPr>
          <w:rFonts w:ascii="Times New Roman" w:cs="Times New Roman" w:eastAsia="Times New Roman" w:hAnsi="Times New Roman"/>
          <w:sz w:val="18"/>
          <w:szCs w:val="18"/>
          <w:color w:val="auto"/>
          <w:highlight w:val="white"/>
        </w:rPr>
        <w:t xml:space="preserve"> (FDA) has cleared the Investigational New Drug (IND) application for intranasal foralumab to be studied in Alzheimer’s disease. The clinical trial will be overseen by Brigham and Women’s 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768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768600"/>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highlight w:val="white"/>
        </w:rPr>
        <w:t>On August 24, 2023, Tiziana announced an oral presentation by Howard Weiner, MD entitled “Nasal anti-CD3 mAb induces Tregs that dampen microglial activation and treat neuroinflammatory diseases including MS, AD and ALS” at the 16</w:t>
      </w:r>
      <w:r>
        <w:rPr>
          <w:rFonts w:ascii="Times New Roman" w:cs="Times New Roman" w:eastAsia="Times New Roman" w:hAnsi="Times New Roman"/>
          <w:sz w:val="29"/>
          <w:szCs w:val="29"/>
          <w:color w:val="auto"/>
          <w:highlight w:val="white"/>
          <w:vertAlign w:val="superscript"/>
        </w:rPr>
        <w:t>th</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International Society of Neuroimmunology (ISNI)</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Congress in Quebec City, Canada, </w:t>
      </w:r>
      <w:r>
        <w:rPr>
          <w:rFonts w:ascii="Times New Roman" w:cs="Times New Roman" w:eastAsia="Times New Roman" w:hAnsi="Times New Roman"/>
          <w:sz w:val="18"/>
          <w:szCs w:val="18"/>
          <w:color w:val="auto"/>
          <w:highlight w:val="white"/>
        </w:rPr>
        <w:t>held on</w:t>
      </w:r>
      <w:r>
        <w:rPr>
          <w:rFonts w:ascii="Times New Roman" w:cs="Times New Roman" w:eastAsia="Times New Roman" w:hAnsi="Times New Roman"/>
          <w:sz w:val="18"/>
          <w:szCs w:val="18"/>
          <w:color w:val="auto"/>
        </w:rPr>
        <w:t xml:space="preserve"> August 21-24, 2023.</w:t>
      </w:r>
    </w:p>
    <w:p>
      <w:pPr>
        <w:spacing w:after="0" w:line="20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highlight w:val="white"/>
        </w:rPr>
        <w:t xml:space="preserve">On September 6, 2023, Tiziana </w:t>
      </w:r>
      <w:r>
        <w:rPr>
          <w:rFonts w:ascii="Times New Roman" w:cs="Times New Roman" w:eastAsia="Times New Roman" w:hAnsi="Times New Roman"/>
          <w:sz w:val="18"/>
          <w:szCs w:val="18"/>
          <w:color w:val="auto"/>
        </w:rPr>
        <w:t>announced acceptance of a publication entitled, “Nasal Administration of anti-CD3 monoclonal antibody (mAb)</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ameliorates disease in a mouse model of Alzheimer’s disease”, in the journal, </w:t>
      </w:r>
      <w:r>
        <w:rPr>
          <w:rFonts w:ascii="Times New Roman" w:cs="Times New Roman" w:eastAsia="Times New Roman" w:hAnsi="Times New Roman"/>
          <w:sz w:val="18"/>
          <w:szCs w:val="18"/>
          <w:i w:val="1"/>
          <w:iCs w:val="1"/>
          <w:color w:val="auto"/>
        </w:rPr>
        <w:t>Proceedings of the National Academy of Sciences</w:t>
      </w:r>
      <w:r>
        <w:rPr>
          <w:rFonts w:ascii="Times New Roman" w:cs="Times New Roman" w:eastAsia="Times New Roman" w:hAnsi="Times New Roman"/>
          <w:sz w:val="18"/>
          <w:szCs w:val="18"/>
          <w:color w:val="auto"/>
        </w:rPr>
        <w:t xml:space="preserve"> (PNAS), validating foralumab’s mechanism of action (MOA) as a potential treatment for Alzheimer’s disease (AD), a difficult-to-treat neuroinflammatory disease. This was the second publication pertaining to intranasal administration of anti-CD3 monoclonal antibody in 2023 to be published in PNAS. This study shows that intranasal anti-CD3 ameliorates disease in a rodent model of AD by targeting microglial activation in the brain and brain gene expression independent of affecting amyloid beta deposition. These studies identify a novel approach to treat Alzheimer’s disease.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September 26, 2023, Tiziana announced initiation of the Phase 2a multicenter clinical trial for treatment of non-active Secondary Progressive Multiple Sclerosis (na-SPMS) patients with intranasal foralumab. Tiziana </w:t>
      </w:r>
      <w:r>
        <w:rPr>
          <w:rFonts w:ascii="Times New Roman" w:cs="Times New Roman" w:eastAsia="Times New Roman" w:hAnsi="Times New Roman"/>
          <w:sz w:val="18"/>
          <w:szCs w:val="18"/>
          <w:color w:val="auto"/>
          <w:highlight w:val="white"/>
        </w:rPr>
        <w:t>announced that it held an Investigator’s Meeting with principal investigators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Brigham and Women’s Hospital to begin site initiation for the clinical trial. In total, six to ten new clinical trial sites will be recruited.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highlight w:val="white"/>
        </w:rPr>
        <w:t xml:space="preserve">On October 11, 2023, Tiziana announced a late breaking poster entitled, “Treatment Of Six Non-Active Secondary Progressive MS With Nasal Anti-CD3 Monoclonal Antibody (Foralumab): Safety, Biomarker, And Disability Outcomes”, that was presented at the 39th </w:t>
      </w:r>
      <w:r>
        <w:rPr>
          <w:rFonts w:ascii="Times New Roman" w:cs="Times New Roman" w:eastAsia="Times New Roman" w:hAnsi="Times New Roman"/>
          <w:sz w:val="18"/>
          <w:szCs w:val="18"/>
          <w:color w:val="auto"/>
        </w:rPr>
        <w:t>Congress of the European</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Committee for Treatment and Research of Multiple Sclerosis (ECTRIMS) held in Milan, Italy, October 11-13,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highlight w:val="white"/>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60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606040"/>
                    </a:xfrm>
                    <a:prstGeom prst="rect">
                      <a:avLst/>
                    </a:prstGeom>
                    <a:noFill/>
                  </pic:spPr>
                </pic:pic>
              </a:graphicData>
            </a:graphic>
          </wp:anchor>
        </w:drawing>
        <w:t>On October 13, 2023, Tiziana announced that a reduction in activated microglia, as seen in six-month Positron Emission Tomography (PET) scans, was observed in a total of five of the six patients with non-active secondary-progressive multiple sclerosis treated with intranasal foralumab in its Expanded Access Program (EAP). Activated microglia play a prominent role in the pathogenesis of neuroinflammatory and neurodegenerative diseases including multiple sclerosis, Alzheimer’s disease, and amyotrophic lateral sclerosis, or ALS.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highlight w:val="white"/>
        </w:rPr>
        <w:t xml:space="preserve">On October 16, 2023, Tiziana announced </w:t>
      </w:r>
      <w:r>
        <w:rPr>
          <w:rFonts w:ascii="Times New Roman" w:cs="Times New Roman" w:eastAsia="Times New Roman" w:hAnsi="Times New Roman"/>
          <w:sz w:val="18"/>
          <w:szCs w:val="18"/>
          <w:color w:val="auto"/>
        </w:rPr>
        <w:t>six-month data showing positive clinical improvements related to Modified Fatigue Impact Scale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(MFIS) scores and similar important clinical measures of physical function in foralumab-treated, non-active Secondary Progressive Multiple Sclerosis patients participating in an Expanded Access (EA) Program. This follows on from previously announced positive six-month PET scan data which was presented at ECTRIMS 2023.</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findings, which are summarized in Table 1 below, show broad-based six-month improvements across various key measures for multiple sclerosis. Secondary progressive multiple sclerosis is hallmarked by an increase of disability over time. The table below shows a stabilization or an improvement in physical function of the various clinical measures over a six-month period. </w:t>
      </w:r>
      <w:r>
        <w:rPr>
          <w:rFonts w:ascii="Times New Roman" w:cs="Times New Roman" w:eastAsia="Times New Roman" w:hAnsi="Times New Roman"/>
          <w:sz w:val="18"/>
          <w:szCs w:val="18"/>
          <w:color w:val="auto"/>
          <w:highlight w:val="white"/>
        </w:rPr>
        <w:t>Various degrees of improvement were also observed in the</w:t>
      </w:r>
      <w:r>
        <w:rPr>
          <w:rFonts w:ascii="Times New Roman" w:cs="Times New Roman" w:eastAsia="Times New Roman" w:hAnsi="Times New Roman"/>
          <w:sz w:val="18"/>
          <w:szCs w:val="18"/>
          <w:color w:val="auto"/>
        </w:rPr>
        <w:t xml:space="preserve"> Expanded Disability Status Scale (EDSS), Timed 25-Foot Walk Test (T25FW), pyramidal function scores and NeuroQoL Fatigue scores in a disease state </w:t>
      </w:r>
      <w:r>
        <w:rPr>
          <w:rFonts w:ascii="Times New Roman" w:cs="Times New Roman" w:eastAsia="Times New Roman" w:hAnsi="Times New Roman"/>
          <w:sz w:val="18"/>
          <w:szCs w:val="18"/>
          <w:color w:val="auto"/>
          <w:highlight w:val="white"/>
        </w:rPr>
        <w:t>that typically shows a decline in function over time.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1. Six Month Test Scores in Expanded Access na-SPMS Patients</w:t>
            </w: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Pyramidal</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 Patient</w:t>
            </w:r>
          </w:p>
        </w:tc>
        <w:tc>
          <w:tcPr>
            <w:tcW w:w="15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EDSS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score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T25FW</w:t>
            </w: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MFIS</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EA2</w:t>
            </w: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EA3</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EA4</w:t>
            </w: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EA5</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EA6</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FEFEFE"/>
          </w:tcPr>
          <w:p>
            <w:pPr>
              <w:spacing w:after="0"/>
              <w:rPr>
                <w:sz w:val="18"/>
                <w:szCs w:val="18"/>
                <w:color w:val="auto"/>
              </w:rPr>
            </w:pPr>
          </w:p>
        </w:tc>
        <w:tc>
          <w:tcPr>
            <w:tcW w:w="1120" w:type="dxa"/>
            <w:vAlign w:val="bottom"/>
            <w:shd w:val="clear" w:color="auto" w:fill="FEFEFE"/>
          </w:tcPr>
          <w:p>
            <w:pPr>
              <w:spacing w:after="0"/>
              <w:rPr>
                <w:sz w:val="18"/>
                <w:szCs w:val="18"/>
                <w:color w:val="auto"/>
              </w:rPr>
            </w:pPr>
          </w:p>
        </w:tc>
        <w:tc>
          <w:tcPr>
            <w:tcW w:w="380" w:type="dxa"/>
            <w:vAlign w:val="bottom"/>
            <w:shd w:val="clear" w:color="auto" w:fill="FEFEFE"/>
          </w:tcPr>
          <w:p>
            <w:pPr>
              <w:spacing w:after="0"/>
              <w:rPr>
                <w:sz w:val="18"/>
                <w:szCs w:val="18"/>
                <w:color w:val="auto"/>
              </w:rPr>
            </w:pPr>
          </w:p>
        </w:tc>
        <w:tc>
          <w:tcPr>
            <w:tcW w:w="100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1100" w:type="dxa"/>
            <w:vAlign w:val="bottom"/>
            <w:shd w:val="clear" w:color="auto" w:fill="FEFEFE"/>
          </w:tcPr>
          <w:p>
            <w:pPr>
              <w:spacing w:after="0"/>
              <w:rPr>
                <w:sz w:val="18"/>
                <w:szCs w:val="18"/>
                <w:color w:val="auto"/>
              </w:rPr>
            </w:pPr>
          </w:p>
        </w:tc>
        <w:tc>
          <w:tcPr>
            <w:tcW w:w="340" w:type="dxa"/>
            <w:vAlign w:val="bottom"/>
            <w:shd w:val="clear" w:color="auto" w:fill="FEFEFE"/>
          </w:tcPr>
          <w:p>
            <w:pPr>
              <w:spacing w:after="0"/>
              <w:rPr>
                <w:sz w:val="18"/>
                <w:szCs w:val="18"/>
                <w:color w:val="auto"/>
              </w:rPr>
            </w:pPr>
          </w:p>
        </w:tc>
        <w:tc>
          <w:tcPr>
            <w:tcW w:w="100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r>
      <w:tr>
        <w:trPr>
          <w:trHeight w:val="198"/>
        </w:trPr>
        <w:tc>
          <w:tcPr>
            <w:tcW w:w="5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Denotes stabilization</w:t>
            </w: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Denotes improvement</w:t>
            </w: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Fatigue, as measured above in MFIS, refers to an overwhelming sense of physical, mental, and emotional exhaustion that is disproportionate to the level of activity or effort exerted. It is a major, common, and often debilitating symptom experienced by many individuals with MS. It differs from the typical tiredness that everyone experiences from time to time. In the context of MS, it is called ‘primary fatigue’ and is a direct result of damage to the central nervous system. This kind of fatigue can significantly impact a person’s daily life and functioning.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15087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0876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October 18, 2023, Tiziana announced that </w:t>
      </w:r>
      <w:r>
        <w:rPr>
          <w:rFonts w:ascii="Times New Roman" w:cs="Times New Roman" w:eastAsia="Times New Roman" w:hAnsi="Times New Roman"/>
          <w:sz w:val="18"/>
          <w:szCs w:val="18"/>
          <w:color w:val="auto"/>
          <w:highlight w:val="white"/>
        </w:rPr>
        <w:t>the</w:t>
      </w:r>
      <w:r>
        <w:rPr>
          <w:rFonts w:ascii="Times New Roman" w:cs="Times New Roman" w:eastAsia="Times New Roman" w:hAnsi="Times New Roman"/>
          <w:sz w:val="18"/>
          <w:szCs w:val="18"/>
          <w:color w:val="auto"/>
        </w:rPr>
        <w:t xml:space="preserve"> U.S. Food and Drug Administration </w:t>
      </w:r>
      <w:r>
        <w:rPr>
          <w:rFonts w:ascii="Times New Roman" w:cs="Times New Roman" w:eastAsia="Times New Roman" w:hAnsi="Times New Roman"/>
          <w:sz w:val="18"/>
          <w:szCs w:val="18"/>
          <w:color w:val="auto"/>
          <w:highlight w:val="white"/>
        </w:rPr>
        <w:t>(FDA) had allowed multiple sclerosis patients to take home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and self-administer Intranasal Foralumab. Delivery Device Training materials have been developed and refined in collaboration with the FDA, and patients </w:t>
      </w:r>
      <w:r>
        <w:rPr>
          <w:rFonts w:ascii="Times New Roman" w:cs="Times New Roman" w:eastAsia="Times New Roman" w:hAnsi="Times New Roman"/>
          <w:sz w:val="18"/>
          <w:szCs w:val="18"/>
          <w:color w:val="auto"/>
        </w:rPr>
        <w:t xml:space="preserve">trained in the use of the nasal device in accordance with these materials. Patients in the Expanded Access program that have been exposed to intranasal </w:t>
      </w:r>
      <w:r>
        <w:rPr>
          <w:rFonts w:ascii="Times New Roman" w:cs="Times New Roman" w:eastAsia="Times New Roman" w:hAnsi="Times New Roman"/>
          <w:sz w:val="18"/>
          <w:szCs w:val="18"/>
          <w:color w:val="auto"/>
          <w:highlight w:val="white"/>
        </w:rPr>
        <w:t xml:space="preserve">foralumab for more than </w:t>
      </w:r>
      <w:r>
        <w:rPr>
          <w:rFonts w:ascii="Times New Roman" w:cs="Times New Roman" w:eastAsia="Times New Roman" w:hAnsi="Times New Roman"/>
          <w:sz w:val="18"/>
          <w:szCs w:val="18"/>
          <w:color w:val="auto"/>
        </w:rPr>
        <w:t>1 year have demonstrated acceptable tolerability and safety. At-Home Dosing is likely to Improve patient compliance to treatment</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and outcomes.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6459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t xml:space="preserve">On November 20, 2023, Tiziana announced </w:t>
      </w:r>
      <w:r>
        <w:rPr>
          <w:rFonts w:ascii="Times New Roman" w:cs="Times New Roman" w:eastAsia="Times New Roman" w:hAnsi="Times New Roman"/>
          <w:sz w:val="18"/>
          <w:szCs w:val="18"/>
          <w:color w:val="auto"/>
          <w:highlight w:val="white"/>
        </w:rPr>
        <w:t>that the Company had successfully enrolled and dosed four new patients with non-active secondary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progressive multiple sclerosis in the Brigham and Women’s Hospital’s Expanded Access program. A total of ten patients are now being followed in the EA Program.</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December 19, 2023, Tiziana announced </w:t>
      </w:r>
      <w:r>
        <w:rPr>
          <w:rFonts w:ascii="Times New Roman" w:cs="Times New Roman" w:eastAsia="Times New Roman" w:hAnsi="Times New Roman"/>
          <w:sz w:val="18"/>
          <w:szCs w:val="18"/>
          <w:color w:val="auto"/>
          <w:highlight w:val="white"/>
        </w:rPr>
        <w:t>“first patient dosed” in its Phase 2a study comparing two doses of intranasal foralumab and placebo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patients with non-active secondary-progressive multiple sclerosis. Six investigational centers have been recruited for this double-blind, placebo-controlled trial, with up to 18 patients per treatment arm. The primary endpoint of the trial will be the change in microglial activation based on PET scans. Clinical </w:t>
      </w:r>
      <w:r>
        <w:rPr>
          <w:rFonts w:ascii="Times New Roman" w:cs="Times New Roman" w:eastAsia="Times New Roman" w:hAnsi="Times New Roman"/>
          <w:sz w:val="18"/>
          <w:szCs w:val="18"/>
          <w:color w:val="auto"/>
        </w:rPr>
        <w:t xml:space="preserve">evaluations include the Expanded Disability Status Scale (EDSS), QoL assessments, and the Modified Fatigue Impact Scale (MFIS), which assess parameters that are essential to a patient’s everyday life. Novel immuno-biomarkers will be measured also and assessed for predictive relevance. Central </w:t>
      </w:r>
      <w:r>
        <w:rPr>
          <w:rFonts w:ascii="Times New Roman" w:cs="Times New Roman" w:eastAsia="Times New Roman" w:hAnsi="Times New Roman"/>
          <w:sz w:val="18"/>
          <w:szCs w:val="18"/>
          <w:color w:val="auto"/>
          <w:highlight w:val="white"/>
        </w:rPr>
        <w:t>review of PET scans and images is an integral component of this study.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5, 2024, Tiziana announced the filing of a new patent application relating to composition and methods for combining GLP-1ra and foralumab, a fully human anti-CD3 antibody, to achieve further reductions in systemic and vascular inflammation associated with Type 2 Diabetes (T2D) and also in a separate population of patients with non T2D obesity.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8, 2024, Tiziana announced that positive findings had been seen in a total of six out of eight Intermediate Size Patient Population Expanded Access (EA) patients. These patients had shown improvements in fatigue scores measured by the Modified Fatigue Impact Scale (MFIS). PET scan findings showing a reduction in microglial activation were also seen in the six patients with MFIS score improvement at the three-month evaluation period.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18, 2024, Tiziana announced a platform presentation titled, “Treatment of PIRA with Nasal Foralumab Dampens Microglial Activation and Stabilizes Clinical Progression in Non-Active Secondary Progressive MS” at the Annual Meeting of the American Academy of Neurology in Denver, Colorado. The presentation included new, encouraging quantitative imaging data from foralumab’s intermediate-size patient population Expanded Access Program. In the presentation, foralumab, a fully human anti-CD3 monoclonal-antibody showed the attenuation of microglial activation in patients with non-active secondary progressive multiple sclerosis (na-SPMS) based on positron emission tomography (PET) imaging and disease stabilization in na-SPMS patients with disease progression independent of relapse (PIRA).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60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606040"/>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oral presentation, delivered by Tarun Singhal, M.B.B.S., M.D., Director of the PET Imaging Program in Neurologic Diseases at Brigham and Women’s Hospital, a founding member of Mass General Brigham Healthcare System, and Associate Professor of Neurology at Harvard Medical School, assessed the effect of intranasal foralumab on microglial activation in na-SPMS patients with PIRA as measured by positron emission tomography (PET) imaging via [F-18]PBR06-PET, a novel, long-half-life ligand used in PET scanning. The study is designed to be open-label and part of the Expanded-Access Program evaluating foralumab in na-SPMS patients that is currently underway.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Five of six patients (83%, 95% confidence interval 44%-97%) showed a qualitative reduction on [F-18]PBR06-PET in multiple brain regions after both 3 and 6 months of nasal foralumab treatment, which implies that there is in vivo evidence for reduced microglial activation and neuroinflammation following treatment with nasal foralumab. White matter z-scores (a measure of abnormally increased neuroinflammation) were reduced by 26-36% in the foralumab-treated group at 3 and 6 months, which was &gt;4-5-times higher compared to 6% variability in the test-retest group. Clinically, foralumab-treated patients demonstrated a stable EDSS and improvement in the Modified Fatigue Impact Scale (MFIS). Reduction in fatigue as measured by the MFIS is clinically relevant to the lives of na-SPMS patients and will be a key monitoring parameter moving forward.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Nasal foralumab attenuated microglial activation in na-SPMS patients with PIRA at 3 and 6 months, as evaluated by [F-18]PBR06-PET and was associated with clinical symptom stability. Based on these positive results, a double-blind, placebo-controlled, dose-ranging study of nasal-foralumab in na-SPMS with [F-18]PBR06-PET as a primary endpoint with measures of EDSS and MFIS is underway. This trial (NCT06292923) is important because if the potential to slow disease progression is demonstrated this would align with early treatment intervention.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On April 22,2024, Tiziana announced additional positive clinical results from its intermediate sized Expanded Access Program (EAP) for non-active secondary progressive multiple sclerosis (na-SPMS) patients. The data demonstrated multiple improvements in foralumab-treated patients, with 70% showing an improvement in fatigue after six months of follow-up. Fatigue is a debilitating symptom for many MS patients and is measured by the Modified Fatigue Impact Scale (MFIS).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287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432879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patients in the na-SPMS study had previously clinically progressed on ocrelizumab. They subsequently were enrolled in our EA program and received 6-months of intranasal foralumab. All 10 foralumab-treated patients stabilized or improved in key clinical measures, and seven showed clinical meaningful improvement in their fatigue at six months as measured by the MFIS. Other key clinical outcome measures included the Expanded Disability Status Scale (EDSS), Timed 25-Foot Walk Test (T25WT) and Pyramidal Scores in a disease state that typically shows a decline in function over time.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findings, which are summarized in the table below, show broad-based six-month improvements across various key measures for multiple sclerosis. Secondary progressive multiple sclerosis is hallmarked by an increase of disability over time. The table below shows a stabilization or an improvement in physical function of the various clinical measures over a six-month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23, 2024, Tiziana also announced that the U.S. Food and Drug Administration (FDA) had allowed its intranasal foralumab non-active Secondary Progressive Multiple Sclerosis (na-SPMS) Expanded Access (EA) Program to expand from 10 patients to a total of 30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9601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 until April 2024, of the 10 participating patients, two patients had been dosed for more than one year and eight additional patients had been dosed for six months, all without serious side effects. All patients had either stabilized or improved on treatment with foralumab, and no patients have declined in key clinical measures. Additionally, 70% of these patients had seen a measurable improvement in fatigue. These data were the first to combine PET imaging with a novel ligand, immune-biomarkers, clinical measures and comprehensive safety data endpoints in patients receiving long-term intranasal foralumab. Patients not eligible for the Phase 2a trial may now be considered for this expanded EA program.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51777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5177790"/>
                    </a:xfrm>
                    <a:prstGeom prst="rect">
                      <a:avLst/>
                    </a:prstGeom>
                    <a:noFill/>
                  </pic:spPr>
                </pic:pic>
              </a:graphicData>
            </a:graphic>
          </wp:anchor>
        </w:drawing>
        <w:t>On April 25, 2024, Tiziana also announced for the first time, quantitative data showing improvement in White Matter Z-scores measured from PET images taken at 3 months in nasal foralumab treated patients with non-active secondary progressive multiple sclerosis (na-SPMS). White Matter Z-scores are a statistical measure used in neuroimaging studies to assess the integrity or abnormalities in structures of the brain.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Tarun Singhal, MBBS, M.D., Director of PET Imaging Program in Neurologic Diseases at Brigham and Women’s Hospital, a founding member of Mass General Brigham Healthcare System, and Associate Professor of Neurology at Harvard Medical School, presented at the American Academy of Neurology annual meeting, for the first time, quantitative [F18]PBR06-PET data showing the dampening of microglial activation, an indicator of brain inflammation, in patients with non-active Secondary Progressive Multiple Sclerosis (na-SPMS) receiving intranasal foralumab. These data came from the open-label intermediate-sized patient population Expanded Access (ISPPEA) program. We calculated White Matter Z-scores to measure the effect of intranasal foralumab on microglial activation at baseline and then after foralumab treatment for three months. We saw reductions of 28% to 48%, indicating improvement in 5 out of 6 patients, and a 36% median reduction in White Matter Z-scores compared to baseline (see Figure 1). A peer-reviewed journal</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has published our recent work with newer [F18]PBR06-PET quantitation approaches.https://journals.lww.com/nuclearmed/fulltext/9900/glial_activity_load_on_pet_reveals_persistent.1077.aspx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EA5 showed a worsening in their White Matter Z-Score at 3-months during a pseudoexacerbation with trigeminal neuralgia.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6, 2024, Tiziana announced the qualitative results for all 10 non-active Secondary Progressive Multiple Sclerosis (na-SPMS) patients enrolled in the intermediate-size patient population Expanded Access (EA) Program receiving foralumab for at least six months. Qualitative improvements in PET imaging were seen in 80% of non-active Secondary Progressive Multiple Sclerosis (na-SPMS) Expanded Access patients receiving intranasal foralumab for at least 6-months.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685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22, 2025 Tiziana announced the discovery of new immune biomarkers in the patients with non-active secondary progressive multiple sclerosis (na-SPMS) treated with nasal foralumab, enrolled in the intermediate-size patient population Expanded Access (EA). These findings contribute substantially to our understanding of the immune mechanisms underlying the effects of nasal foralumab.</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5486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5486400"/>
                    </a:xfrm>
                    <a:prstGeom prst="rect">
                      <a:avLst/>
                    </a:prstGeom>
                    <a:noFill/>
                  </pic:spPr>
                </pic:pic>
              </a:graphicData>
            </a:graphic>
          </wp:anchor>
        </w:drawing>
        <w:t>The study identified gene expression changes which were detected beginning three months after intranasal dosing of foralumab in our ongoing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ISPPEA (or expanded access program). Key findings include modulation of:</w:t>
      </w:r>
    </w:p>
    <w:p>
      <w:pPr>
        <w:spacing w:after="0" w:line="126"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FoxP3 T regulatory cells (Tregs)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CD4+ and CD8+ central memory T cells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CD14+ and CD14- monocytes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Naïve B cells</w:t>
      </w:r>
    </w:p>
    <w:p>
      <w:pPr>
        <w:spacing w:after="0" w:line="144"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These pathways are known to be associated with antigen presentation, interferon responses, and other regulatory immune mechanisms. In this study, single-cell RNA sequencing (scRNAseq) of peripheral blood samples taken before and at three and six months after drug administration has revealed relevant gene expression changes associated with nasal foralumab, which has been associated with a reduction in microglial brain inflammation, as measured by advanced microglial PET scans in these same patients.</w:t>
      </w:r>
    </w:p>
    <w:p>
      <w:pPr>
        <w:spacing w:after="0" w:line="9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2025, Tiziana announced the publication of a peer-reviewed publication of its open-label study in patients with non-active secondary progressive multiple sclerosis (na-SPMS) in Neurology Neuroimmunology &amp; Neuroinflammation, a prestigious journal of the American Academy of Neurology. The publication, entitled “Nasal Foralumab for the Treatment of Progression Independent of Relapses in Patients with Non-active Secondary Progressive Multiple Sclerosis,” detailed the comprehensive positive results from the expanded access study detailed above of patients with na-SPMS. This study marked the first study to integrate TSPO-PET imaging, proteomics, and clinical assessments in na-SPMS, highlighting nasal foralumab’s novel mechanism in addressing progression independent of relapse activity (PIRA)—a critical unmet need in multiple sclerosis (MS) treatment.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Study Highlights included:</w:t>
      </w:r>
    </w:p>
    <w:p>
      <w:pPr>
        <w:spacing w:after="0" w:line="144"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patients with na-SPMS, progressing despite prior B-cell therapies, received nasal foralumab for at least six months.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serious or severe treatment-related adverse events occurred.</w:t>
      </w:r>
    </w:p>
    <w:p>
      <w:pPr>
        <w:spacing w:after="0" w:line="14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showed stabilization of Expanded Disability Status Scale (EDSS) scores; three of four treated for 12 months demonstrated improvement.</w:t>
      </w:r>
    </w:p>
    <w:p>
      <w:pPr>
        <w:spacing w:after="0" w:line="80"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Fatigue improved in six out of ten patients, as measured by the Modified Fatigue Impact Scale (MFIS)—a vital quality-of-life measure for MS patients.</w:t>
      </w:r>
    </w:p>
    <w:p>
      <w:pPr>
        <w:spacing w:after="0" w:line="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new T2 lesions appeared on MRI.</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TSPO-PET imaging revealed significant reductions in microglial activation at three and six months (p&lt;0.05).</w:t>
      </w:r>
    </w:p>
    <w:p>
      <w:pPr>
        <w:spacing w:after="0" w:line="14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Single-cell RNA sequencing demonstrated sustained increases in regulatory T cells (Tregs) and TGFβ expression, supporting induction of regulatory immunity.</w:t>
      </w:r>
    </w:p>
    <w:p>
      <w:pPr>
        <w:spacing w:after="0" w:line="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plans to continue treatment of EA SPMS patients at Brigham and Women’s Hospital and continue evaluation of foralumab treatment.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2a Clinical Trial of Nasally-Administered Foralumab for Treatment of Secondary Progressive Multiple Sclerosis</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multisite Phase 2a study evaluating intranasal foralumab for treatment of SPMS was initiated on September 26, 2023 by holding the first investigator’s meeting. This is a double-blinded, placebo-controlled study of two (2) doses of foralumab nasal solution (50 µg and 100 µg) delivered intranasally compared to placebo, administered in non-active secondary progressive MS patients who are continuing to deteriorate despite standard of care therapy. The first patient was dosed on December 19, 2023.</w:t>
      </w:r>
    </w:p>
    <w:p>
      <w:pPr>
        <w:spacing w:after="0" w:line="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24, 2024, Tiziana announced the U.S. Food and Drug Administration (FDA) had granted Fast Track designation for its intranasal formulation of foralumab, a fully human anti-CD3 monoclonal antibody, for the treatment of non-active Secondary Progressive Multiple Sclerosis (na-SPMS). The Fast Track designation is a significant milestone, providing an expedited review process and increased interaction with the FDA. This designation is intended to facilitate the development of and expedite the review of drugs that treat serious conditions and fill an unmet medical need. Only four Fast Track designations have been granted in 2024 by FDA’s Center for Drug Evaluation and Research as of March 31, 2024.</w:t>
      </w:r>
    </w:p>
    <w:p>
      <w:pPr>
        <w:spacing w:after="0" w:line="1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4, 2024, Tiziana announced the expansion of our Phase 2 clinical trial evaluating intranasal foralumab for non-active secondary progressive multiple sclerosis (SPMS). The trial sites include esteemed institutions across the Northeast of the United States. The additional trial sites include: Yale University, Johns Hopkins University, Cornell University, University at Buffalo (SUNY), University of Massachusetts (UMass), and Thomas Jefferson University. The Company Sponsored Investigators’ Meeting was held on December 13, 2024.</w:t>
      </w:r>
    </w:p>
    <w:p>
      <w:pPr>
        <w:spacing w:after="0" w:line="99" w:lineRule="exact"/>
        <w:rPr>
          <w:sz w:val="20"/>
          <w:szCs w:val="20"/>
          <w:color w:val="auto"/>
        </w:rPr>
      </w:pPr>
    </w:p>
    <w:p>
      <w:pPr>
        <w:ind w:right="2120" w:firstLine="648"/>
        <w:spacing w:after="0" w:line="406" w:lineRule="auto"/>
        <w:rPr>
          <w:sz w:val="20"/>
          <w:szCs w:val="20"/>
          <w:color w:val="auto"/>
        </w:rPr>
      </w:pPr>
      <w:r>
        <w:rPr>
          <w:rFonts w:ascii="Times New Roman" w:cs="Times New Roman" w:eastAsia="Times New Roman" w:hAnsi="Times New Roman"/>
          <w:sz w:val="18"/>
          <w:szCs w:val="18"/>
          <w:color w:val="auto"/>
        </w:rPr>
        <w:t xml:space="preserve">During 2025, patient enrolment has been underway and a top line data readout is expected in the second half of 2026. </w:t>
      </w:r>
      <w:r>
        <w:rPr>
          <w:rFonts w:ascii="Times New Roman" w:cs="Times New Roman" w:eastAsia="Times New Roman" w:hAnsi="Times New Roman"/>
          <w:sz w:val="18"/>
          <w:szCs w:val="18"/>
          <w:b w:val="1"/>
          <w:bCs w:val="1"/>
          <w:i w:val="1"/>
          <w:iCs w:val="1"/>
          <w:color w:val="auto"/>
        </w:rPr>
        <w:t>Open Label Extension of Nasally-Administered Foralumab for Treatment of Secondary Progressive Multiple Sclerosis</w:t>
      </w:r>
    </w:p>
    <w:p>
      <w:pPr>
        <w:spacing w:after="0" w:line="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Tiziana also has an open-label extension study that allows patients that have completed their participation in Phase 2a clinical trial to enter treatment in this study, receiving 50 µg intranasally in the same dosing schedule regimen [50 micrograms per dosing day (6 days per three-week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Alzheimer’s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4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Emerging evidence suggests that dysregulation of neuroinflammation, particularly that orchestrated by microglia, plays a significant role in the pathogenesis of Alzheimer’s disease (AD). Danger signals including dead neurons, dystrophic axons, phosphorylated tau, and amyloid plaques alter the functional phenotype of microglia from a homeostatic (M0) to a neurodegenerative or disease-associated phenotype, which in turn drives neuroinflammation and promotes disease. Thus, therapies that target microglia activation constitute a unique approach for treating AD. Here, we report that nasally administered anti-CD3 monoclonal antibody in the 3xTg AD mouse model reduced microglial activation and improved cognition independent of amyloid beta deposition. In addition, gene expression analysis demonstrated decreased oxidative stress, increased axogenesis and synaptic organization, and metabolic changes in the hippocampus and cortex of nasal anti-CD3 treated animals. The beneficial effect of nasal anti-CD3 was associated with the accumulation of T cells in the brain where they were in close contact with microglial cells. Taken together, our findings identify nasal anti-CD3 as a unique form of immunotherapy to potentially treat AD.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Alzheimer’s disease independent of amyloid beta targeting.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Alzheimer’s disease (AD) is a neurodegenerative disease characterized by amyloid plaques, neurofibrillary tangles, and microglial activation. Therapies targeting amyloid beta have shown positive effects in subjects with AD. Nasal anti-CD3 has been shown to treat animals with a progressive form of experimental autoimmune encephalomyelitis, a model for multiple sclerosis, by inducing regulatory T cells that dampen microglial inflammation in the brain. Here, we show that nasal anti-CD3 also ameliorates disease in a murine model of AD by targeting microglial activation in the brain independent of amyloid beta deposition. These studies identify a unique approach to treat Alzheimer’s disease that could also be given in combination with anti-amyloid therapy. Reference: https://www.pnas.org/doi/full/10.1073/pnas.2309221120</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ARIA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Preclinical studies suggest possible benefit in preventing and treating Amyloid-related imaging abnormalities (ARIA). Amyloid refers to beta-amyloid, a protein that forms plaques in the brains of individuals with Alzheimer’s disease. ARIA refers to abnormalities that can be detected through neuroimaging techniques, such as magnetic resonance imaging (MRI) or positron emission tomography (PET). These abnormalities are associated with the accumulation of amyloid in the brain.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two main types of ARIA: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ARIA-E (Edema): This type is characterized by the presence of fluid (edema) in the brain, and it is a potential side effect associated with some experimental drugs that target beta-amyloid. ARIA-E is monitored closely in clinical trials, as it may require adjustments to the dosage or discontinuation of the drug.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ARIA-H (Hemorrhage): This type involves the presence of microhemorrhages or small bleeds in the brain. Like ARIA-E, ARIA-H is closely monitored in clinical trials.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imaging abnormalities are important considerations in the development of drugs aimed at reducing or removing beta-amyloid in the brain as a potential treatment for Alzheimer’s disease. Researchers and clinicians carefully evaluate the occurrence of ARIA to better understand the safety and efficacy of experimental treatments.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Expanded Access Moderate Alzheimer’s Patient at Brigham and Women’s Hospital (Boston) with Nasally-Administered Foralumab</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2024, Tiziana announced that the U.S. Food and Drug Administration (FDA) had allowed intranasal foralumab to be used under an Expanded Access (EA) IND in its first patient with moderate Alzheimer’s disease. Expanded access IND’s provide a pathway for patients to gain access to investigational drugs, biologics, and medical devices used to diagnose, monitor, or treat patients with serious diseases or conditions for which there are no comparable or satisfactory therapy options available outside of clinical trials.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9" w:name="page70"/>
    <w:bookmarkEnd w:id="6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17, 2024, Tiziana announced a significant milestone in our clinical development program for Alzheimer’s disease. We successfully dosed the first patient with moderate Alzheimer’s disease using intranasal foralumab at Brigham and Women’s Hospital in Boston, Massachusetts following on from their baseline PET scan.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first patient’s PET scan showed a marked reduction in microglia activation associated with neuroinflammation in a patient suffering from moderate Alzheimer’s disease following a three month treatment with intranasal foralumab under the expanded access program. The microglial TSPO PET scan revealed a significant decrease in microglia activation, a key indicator of neuroinflammation associated with Alzheimer’s disease progression.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123190</wp:posOffset>
            </wp:positionV>
            <wp:extent cx="3600450" cy="2922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0045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figure above, we see a decrease in the PET signal after foralumab treatment (bottom row) as compared to pre-treatment baseline (top-row). Adapted from Singhal T et al. Clinical Nuclear Medicine 2025 (in press).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above data was presented by Howard Weiner at the 2025 AD/PD Conference in Vienna and is featured in the AlzForum. The complete report is contained in Singhal et al, “Dampening of microglial activation with nasal foralumab administration in moderate Alzheimer’s Disease dementia”, Clinical Nuclear Medicine 2025, in press.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2a Clinical Trial of Nasally-Administered Foralumab for Treatment of Moderate Alzheimer’s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August 2023, Tiziana, announced that the U.S. Food and Drug Administration (FDA) had cleared the Investigational New Drug (IND) application for intranasal foralumab to be studied in Alzheimer’s disease. A Phase 2 clinical trial is commenced in December 2025.</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December 12, 2025 Tiziana announced that enrolment has begun in its Phase 2 randomized, placebo-controlled early Alzheimer’s clinical trial and the first patient was dosed on December 16, 2025.</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Phase 2 study is designed to evaluate the safety, tolerability, and efficacy of intranasal foralumab as both a monotherapy and in combination with lecanemab or donanemab in early/mild AD. Key endpoints will include measures of neuroinflammation (via TSPO-PET imaging), cognitive function, and biomarker changes related to amyloid and tau pathology. Results from this trial will inform future development and may establish a new paradigm for treating AD by targeting neuroinflammation alone or in combination with anti-amyloid therapy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clinical trial launch is supported by new TSPO-PET imaging evidence demonstrating persistent and widespread microglial activation in an Alzheimer’s patient despite treatment with lecanemab, confirming that neuroinflammation remains present even after amyloid plaque reduction. Lecanemab, marketed by Eisai and Biogen as Leqembi®, is one of the two FDA-approved anti-amyloid therapies for treating early Alzheimer’s and is proven to reduce beta-amyloid plaques.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Figure 1. </w:t>
      </w:r>
      <w:r>
        <w:rPr>
          <w:rFonts w:ascii="Times New Roman" w:cs="Times New Roman" w:eastAsia="Times New Roman" w:hAnsi="Times New Roman"/>
          <w:sz w:val="18"/>
          <w:szCs w:val="18"/>
          <w:color w:val="auto"/>
        </w:rPr>
        <w:t>TSPO-PET scan of an Alzheimer’s patient treated with lecanemab demonstrating persistent and widespread microglial activation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throughout the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112395</wp:posOffset>
            </wp:positionV>
            <wp:extent cx="5349240" cy="1920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4924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PET finding is a critical insight in that clearing amyloid does not turn off the brain’s inflammatory response. Tiziana believes that intranasal foralumab directly addresses this residual neuroinflammation by inducing regulatory T cells to migrate to the brain and calm activated microglia, a mechanism already demonstrated in our study of reduction of microglial activation in secondary progressive multiple sclerosis.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Phase 2 Trial Design and Rationale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study will evaluate whether intranasal foralumab:</w:t>
      </w:r>
    </w:p>
    <w:p>
      <w:pPr>
        <w:spacing w:after="0" w:line="225"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monotherapy, reduces microglial activation and slows cognitive decline by suppressing neuroinflammation.</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combination with lecanemab or donanemab will provide additive or synergistic benefit by simultaneously targeting amyloid pathology and persistent microglial inflammation.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Amyotrophic Lateral Sclerosis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2a Clinical Trial of Nasally-Administered Foralumab for Treatment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On November 19, 2024, Tiziana announced that its grant application to the ALS Association has been approved for funding. The grant is awarded as part of the Hoffman ALS Clinical Trial Awards Program and is titled “Modulation of ALS neuroinflammation by nasal anti-CD3 monoclonal Antibody”. The Association’s grant will fund a 24-patient clinical trial of two doses of Tiziana’s novel and patented therapeutic candidate, intranasal foralumab, aimed at evaluating the safety and early-stage parameters of disease improvement in Amyotrophic Lateral Sclerosis (ALS), also known as Lou Gehrig’s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ALS is a progressive neurodegenerative disease that affects nerve cells in the brain and the spinal cord, ultimately leading to muscle weakness and paralysis. ALS is an orphan disease, but its clinical course can be rapid with marked disability even at an early stage. Over the course of the disease, people lose the ability to move, to speak, and eventually, to breathe. The disease is always fatal, usually within five years of diagnosis. Few treatment options exist, resulting in a high unmet need for new therapies to address functional deficits and disease progression. Preclinical and clinical evidence indicate that nasally administered foralumab – a fully human anti-CD3 monoclonal antibody – stimulates regulatory T cells in cervical lymph nodes, which then migrate to the central nervous system to suppress pathogenic inflammation and restore microglial homeostasis.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Tiziana filed an Investigational New Drug (IND) application to the U.S. Food and Drug Administration (FDA) for a phase 2 clinical trial in ALS. Upon FDA clearance of the IND application, Tiziana continued its plans to commence a 24-patient placebo controlled clinical trial with a placebo arm and two dose ranging arms of Tiziana’s novel and patented therapeutic candidate, intranasal foralumab, aimed at evaluating the safety and early-stage parameters of disease improvement in Amyotrophic Lateral Sclerosis (ALS).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25, 2025, Tiziana announced that its Phase 2 clinical trial evaluating intranasal foralumab in patients with amyotrophic lateral sclerosis (ALS) has been accepted for inclusion in the ALS MyMatch Program at the Sean M. Healey &amp; AMG Center for ALS at Mass General Brigham. The study, supported by a grant from the ALS Association, will be led by Principal Investigators Suma Babu, MBBS, MPH, and James Berry, MD, MPH, at Mass General Brigham. The trial will enroll at multiple rapid-enrolling U.S. centers within the Network of Excellence for ALS (NEALS) Consortium. Successful investigational products from the Healey ALS MyMatch program may advance to future regimens of the HEALEY ALS Platform Trial – a perpetual, multi-regimen, late-phase clinical efficacy study – or transition directly to standalone Phase 3 trials.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remains dedicated to delivering innovative solutions that can potentially improve outcomes and quality of life for ALS patients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 System Atrophy (MSA)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Multiple System Atrophy is a rare and debilitating disorder involving the progressive loss of nerve cells in several areas of the brain. Symptoms may include severe problems with movement, balance, bladder control, and blood pressure regulation. The disease progresses quickly, and most patients survive only 6–9 years after diagnosis. Classified as an orphan disease by the FDA, MSA affects an estimated 15,000–50,000 people in the United States. There are no FDA-approved treatments that alter its course, creating a critical need for new therapeutic strategies.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2a Clinical Trial of Nasally-Administered Foralumab for Treatment of MSA</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14, 2025, Tiziana announced that the first participant has been enrolled and dosed in a Phase 2a clinical trial evaluating intranasal foralumab in patients living with Multiple System Atrophy (MSA) at Brigham and Women’s Hospital in Boston, Massachusetts.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six-month open-label study assesses the potential of foralumab to reduce harmful neuroinflammation by engaging the body’s regulatory T cells through a novel, non-systemic delivery approach. Participants will receive treatment over eight dosing cycles, with the goal of determining whether this approach can slow disease progression and improve quality of life.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trial builds on Tiziana’s broader research into foralumab in neuroinflammatory and neurodegenerative diseases.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 clinical results of Nasally-Administered Foralumab in combination with semaglutide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5, 2024, Tiziana announced the filing of a new patent application relating to composition and methods for combining GLP-1ra and foralumab, a fully human anti-CD3 antibody, to achieve further reductions in systemic and vascular inflammation associated with Type 2 Diabetes (T2D) and also in a separate population of patients with non T2D obesity.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30, 2024, Tiziana announced positive results demonstrating the anti-inflammatory potential of our anti-CD3 antibody (foralumab) in combination with semaglutide, a GLP-1 agonist marketed by Novo Nordisk (NYSE: NVO) under the brand names Ozempic and Wegovy. The data show that the combination of nasal anti-CD3 plus semaglutide improves liver homeostasis and reduces inflammation in models of diet-induced obesity (DIO), providing a potential novel approach to combat obesity-related inflammation, and liver inflammation and dysfunction.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-147955</wp:posOffset>
            </wp:positionV>
            <wp:extent cx="2540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400" cy="12890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-10795</wp:posOffset>
            </wp:positionV>
            <wp:extent cx="2540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Key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5" w:lineRule="exact"/>
        <w:rPr>
          <w:sz w:val="20"/>
          <w:szCs w:val="20"/>
          <w:color w:val="auto"/>
        </w:rPr>
      </w:pPr>
    </w:p>
    <w:p>
      <w:pPr>
        <w:ind w:left="980" w:right="2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Nasal anti-CD3 in combination with semaglutide demonstrates synergistic effects in promoting liver homeostasis in preclinical models of diet-induced obesity.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significantly reduces inflammation markers, a key factor in obesity-related metabolic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71920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719201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Figure: Nasal anti-CD3 with Low and High Dose semaglutide promote Liver Homeostasis in DIO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figure above, the far-right column shows the explanted liver and histology of that liver at two magnifications for a mouse fed a low-fat chow “normal” diet (“lean mouse”). The dark and smaller liver on the right is a typical healthy liver from a lean mouse. All the mice under the gray bar in the figure were fed a high fat chow (“HFD”) resulting in diet induced obesity. As the columns outlined by red boxes demonstrate, administration of the combination of nasal anti-CD3 and semaglutide had livers that looked more like the liver from the lean mouse. The HFD mice given low dose or high dose semaglutide alone had enlarged fatty livers that were more similar to the HFD control.</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humans, nasal foralumab modulates immune responses by inducing regulatory-type T cells. semaglutide is an effective therapy for obesity and Type 2 diabetes, known for its role in enhancing insulin sensitivity and reducing body weight.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study, conducted by Dr Howard Weiner and Selma Boulenouar PhD, and a research team at Brigham and Women’s Hospital, Boston, Massachusetts, demonstrates that nasal anti-CD3 in combination with Semaglutide, helps restore liver homeostasis in diet induced obesity models where liver dysfunction and inflammation are prominent. The combination therapy led to marked reductions in pro-inflammatory cytokines and significant improvements in liver markers associated with metabolic regulation. This suggests a dual benefit in both managing obesity and preventing its associated inflammation-related complications.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10, 2025, we announced findings on the prolonged benefits of its nasal anti-CD3 monoclonal antibody in sustaining tissue homeostasis and mitigating the side effects associated with GLP-1 agonists discontinuation. This advancement offers a promising approach to overcoming the tolerability challenges and adverse effects commonly linked to prolonged GLP-1 drug use.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GLP-1 drugs, widely used for treating metabolic disorders, often face issues with long term tolerability, leading to side effects such as sarcopenia and bone density loss. These complications frequently result in the discontinuation of GLP-1 therapies, reversing their beneficial effects on tissue homeostasis. Tiziana’s nasal anti-CD3 therapy has been shown not only to enhance the positive effects of semaglutide, a GLP-1 agonist marketed by Novo Nordisk (NYSE: NVO) under the brand names Ozempic and Wegovy when administered together but now to potentially sustain these effects after a GLP-1’s discontinuation.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One of the key challenges with GLP-1 drugs is their lack of tolerability over time, which can lead to adverse effects like muscle and bone loss, Our research demonstrated that nasal anti-CD3 not only amplified the beneficial effects of GLP-1 agonists but could also potentially sustain these benefits even after discontinuation, providing a novel and non-toxic approach to maintaining tissue homeostasis and improving patient outcomes. The data showed that even when on a high-fat diet, nasal anti-CD3 therapy sustained tissue homeostasis and mitigated inflammation in key organs, including adipose tissue, liver, kidneys, and brain. Importantly, the prolonged effects of nasal anti-CD3 are independent of dietary changes, making it a robust and versatile therapy for long-term metabolic health.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548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t>The mechanism behind nasal anti-CD3’s efficacy lies in its ability to induce regulatory T cells, which dampen tissue inflammation and promote homeostasis. This discovery opens a new avenue for maintaining the positive effects of GLP-1 agonists, even in cases where discontinuation is necessary due to side effects or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Anti-IL6R Fully Human mAb TZLS-501 (formerly known as NI-1201)</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TZLS-501 is a fully human mAb targeting the IL-6R. We licensed the intellectual property from Novimmune in January 2017. This fully human mAb has a novel mechanism of action, binding to both the membrane-bound and soluble forms of the IL-6R and depleting circulating levels of the IL-6 in the blood. An excessive production of IL-6 is regarded as a key driver of chronic inflammation, associated with autoimmune diseases such as multiple myeloma, oncology indications and rheumatoid arthritis, and we believe that TZLS-501 may have potential therapeutic value for these indications.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preclinical studies, TZLS-501 demonstrated the potential for overcoming the limitations of other IL-6 blocking pathway drugs. Compared to tocilizumab and sarilumab, while binding to the membrane-bound IL-6R complex, TZLS-501 has been observed to have a higher affinity for the soluble IL-6 receptor from antibody binding studies conducted in cell culture. TZLS-501 also demonstrated the potential to block or reduce IL-6 signaling in mouse models of inflammation. The soluble form of IL-6 has been implicated to have a larger role in disease progression compared to the membrane-bound form (Kallen, K.J. (2002). “The role of transsignaling via the agonistic soluble IL-6 receptor in human diseases.” Biochimica et Biophysica Acta. 1592 (3): 323–343.).</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Originally TZLS-501 clinical development was intended for treatment of “cytokine storm”-induced lung damage in COVID-19 patients by aerosol delivery to lung, however, with the increasing number of effective therapies and vaccines now available for COVID patients the Company decided to refocus TZLS-501 development for SSc-ILD indication.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9, 2020 The Company announced that it had developed investigational new technology to treat COVID-19 infections, consisting of direct delivery of anti-IL-6 receptor (anti-IL-6R) monoclonal antibodies (mAbs) into the lungs using a handheld inhaler or nebulizer for treatment of patients infected with COVID-19 (SARS-CoV-2) coronavirus. On June 29, 2020 the Company announced that it was advancing GMP manufacturing of TZLS-501 with STC Biologics concurrently with the development of inhalation technology using a hand-held nebulizer with Sciarra Laboratories and safety toxicology studies in Cynomolgus monkeys with ITR Canada Laboratories. GMP batches were initiated in January 2021 and completed in March 2021. Safety inhalation toxicology studies were initiated in November 2020 and completed in March 2021. Technological assessment of nebulizers for inhalation treatment of patients was initiated in September 2020 and completed in February 2021.</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additional 250L cGMP batch of TZLS-501 drug substance was manufactured using an improved downstream process to support future development activities. An IND for a Phase 1 Clinical Trial in Healthy Subjects for treatment of interstitial lung disease associated with systemic sclerosis (SSc ILD) was filed in December 2021. This program has been temporarily paused to pursue the Company’s short-term focus on clinical development of intranasal foralumab administration for treatment of SPMS patients.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aware of a number of companies focused on developing therapies in various indications. Any advances made by a competitor may be used to develop therapies that could compete against any of our product candidates.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our specific product candidates, the main competitors include:</w:t>
      </w:r>
    </w:p>
    <w:p>
      <w:pPr>
        <w:spacing w:after="0" w:line="225" w:lineRule="exact"/>
        <w:rPr>
          <w:sz w:val="20"/>
          <w:szCs w:val="20"/>
          <w:color w:val="auto"/>
        </w:rPr>
      </w:pPr>
    </w:p>
    <w:p>
      <w:pPr>
        <w:ind w:left="980" w:right="2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Foralumab is currently the only fully human anti-CD3 mAb in clinical development for treatment of na-SPMS, ALS, MSA and AD.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aware of another non fully human mAb therapy with a differing mechanism of action in development for the treatment of na-SPMS.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aware of other non mAb therapies with differing mechanisms of action in development for the treatment of na-SPMS, ALS, MSA and AD.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have substantially greater financial, technical and other resources than we do, such as larger R&amp;D,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competitors.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As of March 31, 2026, our intellectual property portfolio was made up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Family</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Subject</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Priority</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Expires</w:t>
            </w:r>
          </w:p>
        </w:tc>
        <w:tc>
          <w:tcPr>
            <w:tcW w:w="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3240" w:type="dxa"/>
            <w:vAlign w:val="bottom"/>
            <w:tcBorders>
              <w:top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0" w:type="dxa"/>
            <w:vAlign w:val="bottom"/>
          </w:tcPr>
          <w:p>
            <w:pPr>
              <w:spacing w:after="0"/>
              <w:rPr>
                <w:sz w:val="1"/>
                <w:szCs w:val="1"/>
                <w:color w:val="auto"/>
              </w:rPr>
            </w:pPr>
          </w:p>
        </w:tc>
      </w:tr>
      <w:tr>
        <w:trPr>
          <w:trHeight w:val="196"/>
        </w:trPr>
        <w:tc>
          <w:tcPr>
            <w:tcW w:w="1820" w:type="dxa"/>
            <w:vAlign w:val="bottom"/>
            <w:tcBorders>
              <w:left w:val="single" w:sz="8" w:color="auto"/>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Issued: United States, Australia, China, Japan, Israel,</w:t>
            </w:r>
          </w:p>
        </w:tc>
        <w:tc>
          <w:tcPr>
            <w:tcW w:w="0" w:type="dxa"/>
            <w:vAlign w:val="bottom"/>
          </w:tcPr>
          <w:p>
            <w:pPr>
              <w:spacing w:after="0"/>
              <w:rPr>
                <w:sz w:val="1"/>
                <w:szCs w:val="1"/>
                <w:color w:val="auto"/>
              </w:rPr>
            </w:pPr>
          </w:p>
        </w:tc>
      </w:tr>
      <w:tr>
        <w:trPr>
          <w:trHeight w:val="20"/>
        </w:trPr>
        <w:tc>
          <w:tcPr>
            <w:tcW w:w="1820" w:type="dxa"/>
            <w:vAlign w:val="bottom"/>
            <w:tcBorders>
              <w:left w:val="single" w:sz="8" w:color="auto"/>
              <w:right w:val="single" w:sz="8" w:color="auto"/>
            </w:tcBorders>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Belgium, Switzerland, Germany, Denmark, Spain,</w:t>
            </w: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Formulations and dosing</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Issued/</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2037</w:t>
            </w:r>
          </w:p>
        </w:tc>
        <w:tc>
          <w:tcPr>
            <w:tcW w:w="20" w:type="dxa"/>
            <w:vAlign w:val="bottom"/>
          </w:tcPr>
          <w:p>
            <w:pPr>
              <w:spacing w:after="0"/>
              <w:rPr>
                <w:sz w:val="18"/>
                <w:szCs w:val="18"/>
                <w:color w:val="auto"/>
              </w:rPr>
            </w:pPr>
          </w:p>
        </w:tc>
        <w:tc>
          <w:tcPr>
            <w:tcW w:w="38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France, Great Britain, Ireland, Italy, Luxembourg,</w:t>
            </w:r>
          </w:p>
        </w:tc>
        <w:tc>
          <w:tcPr>
            <w:tcW w:w="0" w:type="dxa"/>
            <w:vAlign w:val="bottom"/>
          </w:tcPr>
          <w:p>
            <w:pPr>
              <w:spacing w:after="0"/>
              <w:rPr>
                <w:sz w:val="1"/>
                <w:szCs w:val="1"/>
                <w:color w:val="auto"/>
              </w:rPr>
            </w:pPr>
          </w:p>
        </w:tc>
      </w:tr>
      <w:tr>
        <w:trPr>
          <w:trHeight w:val="126"/>
        </w:trPr>
        <w:tc>
          <w:tcPr>
            <w:tcW w:w="1820" w:type="dxa"/>
            <w:vAlign w:val="bottom"/>
            <w:tcBorders>
              <w:left w:val="single" w:sz="8" w:color="auto"/>
              <w:right w:val="single" w:sz="8" w:color="auto"/>
            </w:tcBorders>
          </w:tcPr>
          <w:p>
            <w:pPr>
              <w:spacing w:after="0"/>
              <w:rPr>
                <w:sz w:val="10"/>
                <w:szCs w:val="10"/>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regimen</w:t>
            </w:r>
          </w:p>
        </w:tc>
        <w:tc>
          <w:tcPr>
            <w:tcW w:w="11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8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388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the Netherlands, Norway Sweden and Hong Kong</w:t>
            </w:r>
          </w:p>
        </w:tc>
        <w:tc>
          <w:tcPr>
            <w:tcW w:w="0" w:type="dxa"/>
            <w:vAlign w:val="bottom"/>
          </w:tcPr>
          <w:p>
            <w:pPr>
              <w:spacing w:after="0"/>
              <w:rPr>
                <w:sz w:val="1"/>
                <w:szCs w:val="1"/>
                <w:color w:val="auto"/>
              </w:rPr>
            </w:pPr>
          </w:p>
        </w:tc>
      </w:tr>
      <w:tr>
        <w:trPr>
          <w:trHeight w:val="90"/>
        </w:trPr>
        <w:tc>
          <w:tcPr>
            <w:tcW w:w="1820" w:type="dxa"/>
            <w:vAlign w:val="bottom"/>
            <w:tcBorders>
              <w:left w:val="single" w:sz="8" w:color="auto"/>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80" w:type="dxa"/>
            <w:vAlign w:val="bottom"/>
            <w:tcBorders>
              <w:right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righ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880" w:type="dxa"/>
            <w:vAlign w:val="bottom"/>
            <w:tcBorders>
              <w:right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Pending: Australia, Canada, China, Europe, United</w:t>
            </w: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States</w:t>
            </w:r>
          </w:p>
        </w:tc>
        <w:tc>
          <w:tcPr>
            <w:tcW w:w="3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20" w:type="dxa"/>
            <w:vAlign w:val="bottom"/>
            <w:tcBorders>
              <w:left w:val="single" w:sz="8" w:color="auto"/>
              <w:right w:val="single" w:sz="8" w:color="auto"/>
            </w:tcBorders>
          </w:tcPr>
          <w:p>
            <w:pPr>
              <w:spacing w:after="0"/>
              <w:rPr>
                <w:sz w:val="17"/>
                <w:szCs w:val="17"/>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Methods of use (CNS disorders)</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2038</w:t>
            </w:r>
          </w:p>
        </w:tc>
        <w:tc>
          <w:tcPr>
            <w:tcW w:w="20" w:type="dxa"/>
            <w:vAlign w:val="bottom"/>
          </w:tcPr>
          <w:p>
            <w:pPr>
              <w:spacing w:after="0"/>
              <w:rPr>
                <w:sz w:val="17"/>
                <w:szCs w:val="17"/>
                <w:color w:val="auto"/>
              </w:rPr>
            </w:pPr>
          </w:p>
        </w:tc>
        <w:tc>
          <w:tcPr>
            <w:tcW w:w="388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Issued: Japan,</w:t>
            </w:r>
          </w:p>
        </w:tc>
        <w:tc>
          <w:tcPr>
            <w:tcW w:w="0" w:type="dxa"/>
            <w:vAlign w:val="bottom"/>
          </w:tcPr>
          <w:p>
            <w:pPr>
              <w:spacing w:after="0"/>
              <w:rPr>
                <w:sz w:val="1"/>
                <w:szCs w:val="1"/>
                <w:color w:val="auto"/>
              </w:rPr>
            </w:pPr>
          </w:p>
        </w:tc>
      </w:tr>
      <w:tr>
        <w:trPr>
          <w:trHeight w:val="20"/>
        </w:trPr>
        <w:tc>
          <w:tcPr>
            <w:tcW w:w="1820" w:type="dxa"/>
            <w:vAlign w:val="bottom"/>
            <w:tcBorders>
              <w:left w:val="single" w:sz="8" w:color="auto"/>
              <w:right w:val="single" w:sz="8" w:color="auto"/>
            </w:tcBorders>
          </w:tcPr>
          <w:p>
            <w:pPr>
              <w:spacing w:after="0" w:line="20" w:lineRule="exact"/>
              <w:rPr>
                <w:sz w:val="1"/>
                <w:szCs w:val="1"/>
                <w:color w:val="auto"/>
              </w:rPr>
            </w:pPr>
          </w:p>
        </w:tc>
        <w:tc>
          <w:tcPr>
            <w:tcW w:w="2480" w:type="dxa"/>
            <w:vAlign w:val="bottom"/>
            <w:tcBorders>
              <w:right w:val="single" w:sz="8" w:color="auto"/>
            </w:tcBorders>
            <w:vMerge w:val="continue"/>
          </w:tcPr>
          <w:p>
            <w:pPr>
              <w:spacing w:after="0" w:line="20" w:lineRule="exact"/>
              <w:rPr>
                <w:sz w:val="1"/>
                <w:szCs w:val="1"/>
                <w:color w:val="auto"/>
              </w:rPr>
            </w:pPr>
          </w:p>
        </w:tc>
        <w:tc>
          <w:tcPr>
            <w:tcW w:w="1120" w:type="dxa"/>
            <w:vAlign w:val="bottom"/>
            <w:tcBorders>
              <w:right w:val="single" w:sz="8" w:color="auto"/>
            </w:tcBorders>
            <w:vMerge w:val="continue"/>
          </w:tcPr>
          <w:p>
            <w:pPr>
              <w:spacing w:after="0" w:line="20" w:lineRule="exact"/>
              <w:rPr>
                <w:sz w:val="1"/>
                <w:szCs w:val="1"/>
                <w:color w:val="auto"/>
              </w:rPr>
            </w:pPr>
          </w:p>
        </w:tc>
        <w:tc>
          <w:tcPr>
            <w:tcW w:w="1120" w:type="dxa"/>
            <w:vAlign w:val="bottom"/>
            <w:tcBorders>
              <w:right w:val="single" w:sz="8" w:color="auto"/>
            </w:tcBorders>
            <w:vMerge w:val="continue"/>
          </w:tcPr>
          <w:p>
            <w:pPr>
              <w:spacing w:after="0" w:line="20" w:lineRule="exact"/>
              <w:rPr>
                <w:sz w:val="1"/>
                <w:szCs w:val="1"/>
                <w:color w:val="auto"/>
              </w:rPr>
            </w:pPr>
          </w:p>
        </w:tc>
        <w:tc>
          <w:tcPr>
            <w:tcW w:w="800" w:type="dxa"/>
            <w:vAlign w:val="bottom"/>
            <w:tcBorders>
              <w:right w:val="single" w:sz="8" w:color="auto"/>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820" w:type="dxa"/>
            <w:vAlign w:val="bottom"/>
            <w:tcBorders>
              <w:left w:val="single" w:sz="8" w:color="auto"/>
              <w:right w:val="single" w:sz="8" w:color="auto"/>
            </w:tcBorders>
          </w:tcPr>
          <w:p>
            <w:pPr>
              <w:spacing w:after="0"/>
              <w:rPr>
                <w:sz w:val="11"/>
                <w:szCs w:val="11"/>
                <w:color w:val="auto"/>
              </w:rPr>
            </w:pPr>
          </w:p>
        </w:tc>
        <w:tc>
          <w:tcPr>
            <w:tcW w:w="248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3880" w:type="dxa"/>
            <w:vAlign w:val="bottom"/>
            <w:tcBorders>
              <w:right w:val="single" w:sz="8" w:color="auto"/>
            </w:tcBorders>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Pending: Canada, Europe, Japan, United States</w:t>
            </w:r>
          </w:p>
        </w:tc>
        <w:tc>
          <w:tcPr>
            <w:tcW w:w="0" w:type="dxa"/>
            <w:vAlign w:val="bottom"/>
          </w:tcPr>
          <w:p>
            <w:pPr>
              <w:spacing w:after="0"/>
              <w:rPr>
                <w:sz w:val="1"/>
                <w:szCs w:val="1"/>
                <w:color w:val="auto"/>
              </w:rPr>
            </w:pPr>
          </w:p>
        </w:tc>
      </w:tr>
      <w:tr>
        <w:trPr>
          <w:trHeight w:val="68"/>
        </w:trPr>
        <w:tc>
          <w:tcPr>
            <w:tcW w:w="1820" w:type="dxa"/>
            <w:vAlign w:val="bottom"/>
            <w:tcBorders>
              <w:left w:val="single" w:sz="8" w:color="auto"/>
              <w:right w:val="single" w:sz="8" w:color="auto"/>
            </w:tcBorders>
          </w:tcPr>
          <w:p>
            <w:pPr>
              <w:spacing w:after="0"/>
              <w:rPr>
                <w:sz w:val="5"/>
                <w:szCs w:val="5"/>
                <w:color w:val="auto"/>
              </w:rPr>
            </w:pPr>
          </w:p>
        </w:tc>
        <w:tc>
          <w:tcPr>
            <w:tcW w:w="248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388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820" w:type="dxa"/>
            <w:vAlign w:val="bottom"/>
            <w:tcBorders>
              <w:left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Method of administering</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right w:val="single" w:sz="8" w:color="auto"/>
            </w:tcBorders>
          </w:tcPr>
          <w:p>
            <w:pPr>
              <w:spacing w:after="0"/>
              <w:rPr>
                <w:sz w:val="16"/>
                <w:szCs w:val="16"/>
                <w:color w:val="auto"/>
              </w:rPr>
            </w:pPr>
          </w:p>
        </w:tc>
        <w:tc>
          <w:tcPr>
            <w:tcW w:w="24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foralumab by subcutaneous</w:t>
            </w:r>
          </w:p>
        </w:tc>
        <w:tc>
          <w:tcPr>
            <w:tcW w:w="11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2021</w:t>
            </w:r>
          </w:p>
        </w:tc>
        <w:tc>
          <w:tcPr>
            <w:tcW w:w="11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Pending</w:t>
            </w:r>
          </w:p>
        </w:tc>
        <w:tc>
          <w:tcPr>
            <w:tcW w:w="8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2042</w:t>
            </w:r>
          </w:p>
        </w:tc>
        <w:tc>
          <w:tcPr>
            <w:tcW w:w="20" w:type="dxa"/>
            <w:vAlign w:val="bottom"/>
          </w:tcPr>
          <w:p>
            <w:pPr>
              <w:spacing w:after="0"/>
              <w:rPr>
                <w:sz w:val="16"/>
                <w:szCs w:val="16"/>
                <w:color w:val="auto"/>
              </w:rPr>
            </w:pPr>
          </w:p>
        </w:tc>
        <w:tc>
          <w:tcPr>
            <w:tcW w:w="3880" w:type="dxa"/>
            <w:vAlign w:val="bottom"/>
            <w:tcBorders>
              <w:right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Pending: United States</w:t>
            </w: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Foralumab TZLS-401</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injection</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20" w:type="dxa"/>
            <w:vAlign w:val="bottom"/>
            <w:tcBorders>
              <w:left w:val="single" w:sz="8" w:color="auto"/>
              <w:right w:val="single" w:sz="8" w:color="auto"/>
            </w:tcBorders>
          </w:tcPr>
          <w:p>
            <w:pPr>
              <w:spacing w:after="0"/>
              <w:rPr>
                <w:sz w:val="17"/>
                <w:szCs w:val="17"/>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Nasal formulations of foralumab</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2043</w:t>
            </w:r>
          </w:p>
        </w:tc>
        <w:tc>
          <w:tcPr>
            <w:tcW w:w="20" w:type="dxa"/>
            <w:vAlign w:val="bottom"/>
          </w:tcPr>
          <w:p>
            <w:pPr>
              <w:spacing w:after="0"/>
              <w:rPr>
                <w:sz w:val="17"/>
                <w:szCs w:val="17"/>
                <w:color w:val="auto"/>
              </w:rPr>
            </w:pPr>
          </w:p>
        </w:tc>
        <w:tc>
          <w:tcPr>
            <w:tcW w:w="388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Pending: Australia, Canada, Europe, Japan, United</w:t>
            </w:r>
          </w:p>
        </w:tc>
        <w:tc>
          <w:tcPr>
            <w:tcW w:w="0" w:type="dxa"/>
            <w:vAlign w:val="bottom"/>
          </w:tcPr>
          <w:p>
            <w:pPr>
              <w:spacing w:after="0"/>
              <w:rPr>
                <w:sz w:val="1"/>
                <w:szCs w:val="1"/>
                <w:color w:val="auto"/>
              </w:rPr>
            </w:pPr>
          </w:p>
        </w:tc>
      </w:tr>
      <w:tr>
        <w:trPr>
          <w:trHeight w:val="128"/>
        </w:trPr>
        <w:tc>
          <w:tcPr>
            <w:tcW w:w="1820" w:type="dxa"/>
            <w:vAlign w:val="bottom"/>
            <w:tcBorders>
              <w:left w:val="single" w:sz="8" w:color="auto"/>
              <w:right w:val="single" w:sz="8" w:color="auto"/>
            </w:tcBorders>
          </w:tcPr>
          <w:p>
            <w:pPr>
              <w:spacing w:after="0"/>
              <w:rPr>
                <w:sz w:val="11"/>
                <w:szCs w:val="11"/>
                <w:color w:val="auto"/>
              </w:rPr>
            </w:pPr>
          </w:p>
        </w:tc>
        <w:tc>
          <w:tcPr>
            <w:tcW w:w="248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States</w:t>
            </w:r>
          </w:p>
        </w:tc>
        <w:tc>
          <w:tcPr>
            <w:tcW w:w="3240" w:type="dxa"/>
            <w:vAlign w:val="bottom"/>
            <w:tcBorders>
              <w:right w:val="single" w:sz="8" w:color="auto"/>
            </w:tcBorders>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3"/>
            <w:vMerge w:val="continue"/>
          </w:tcPr>
          <w:p>
            <w:pPr>
              <w:spacing w:after="0"/>
              <w:rPr>
                <w:sz w:val="9"/>
                <w:szCs w:val="9"/>
                <w:color w:val="auto"/>
              </w:rPr>
            </w:pPr>
          </w:p>
        </w:tc>
        <w:tc>
          <w:tcPr>
            <w:tcW w:w="32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20" w:type="dxa"/>
            <w:vAlign w:val="bottom"/>
            <w:tcBorders>
              <w:left w:val="single" w:sz="8" w:color="auto"/>
              <w:right w:val="single" w:sz="8" w:color="auto"/>
            </w:tcBorders>
          </w:tcPr>
          <w:p>
            <w:pPr>
              <w:spacing w:after="0"/>
              <w:rPr>
                <w:sz w:val="17"/>
                <w:szCs w:val="17"/>
                <w:color w:val="auto"/>
              </w:rPr>
            </w:pPr>
          </w:p>
        </w:tc>
        <w:tc>
          <w:tcPr>
            <w:tcW w:w="24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Methods of suppressing</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2042</w:t>
            </w:r>
          </w:p>
        </w:tc>
        <w:tc>
          <w:tcPr>
            <w:tcW w:w="20" w:type="dxa"/>
            <w:vAlign w:val="bottom"/>
          </w:tcPr>
          <w:p>
            <w:pPr>
              <w:spacing w:after="0"/>
              <w:rPr>
                <w:sz w:val="17"/>
                <w:szCs w:val="17"/>
                <w:color w:val="auto"/>
              </w:rPr>
            </w:pPr>
          </w:p>
        </w:tc>
        <w:tc>
          <w:tcPr>
            <w:tcW w:w="388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Pending: US, Australia, Canada, China, Europe,</w:t>
            </w:r>
          </w:p>
        </w:tc>
        <w:tc>
          <w:tcPr>
            <w:tcW w:w="0" w:type="dxa"/>
            <w:vAlign w:val="bottom"/>
          </w:tcPr>
          <w:p>
            <w:pPr>
              <w:spacing w:after="0"/>
              <w:rPr>
                <w:sz w:val="1"/>
                <w:szCs w:val="1"/>
                <w:color w:val="auto"/>
              </w:rPr>
            </w:pPr>
          </w:p>
        </w:tc>
      </w:tr>
      <w:tr>
        <w:trPr>
          <w:trHeight w:val="20"/>
        </w:trPr>
        <w:tc>
          <w:tcPr>
            <w:tcW w:w="1820" w:type="dxa"/>
            <w:vAlign w:val="bottom"/>
            <w:tcBorders>
              <w:left w:val="single" w:sz="8" w:color="auto"/>
              <w:right w:val="single" w:sz="8" w:color="auto"/>
            </w:tcBorders>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vMerge w:val="continue"/>
          </w:tcPr>
          <w:p>
            <w:pPr>
              <w:spacing w:after="0" w:line="20" w:lineRule="exact"/>
              <w:rPr>
                <w:sz w:val="1"/>
                <w:szCs w:val="1"/>
                <w:color w:val="auto"/>
              </w:rPr>
            </w:pPr>
          </w:p>
        </w:tc>
        <w:tc>
          <w:tcPr>
            <w:tcW w:w="1120" w:type="dxa"/>
            <w:vAlign w:val="bottom"/>
            <w:tcBorders>
              <w:right w:val="single" w:sz="8" w:color="auto"/>
            </w:tcBorders>
            <w:vMerge w:val="continue"/>
          </w:tcPr>
          <w:p>
            <w:pPr>
              <w:spacing w:after="0" w:line="20" w:lineRule="exact"/>
              <w:rPr>
                <w:sz w:val="1"/>
                <w:szCs w:val="1"/>
                <w:color w:val="auto"/>
              </w:rPr>
            </w:pPr>
          </w:p>
        </w:tc>
        <w:tc>
          <w:tcPr>
            <w:tcW w:w="800" w:type="dxa"/>
            <w:vAlign w:val="bottom"/>
            <w:tcBorders>
              <w:right w:val="single" w:sz="8" w:color="auto"/>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820" w:type="dxa"/>
            <w:vAlign w:val="bottom"/>
            <w:tcBorders>
              <w:left w:val="single" w:sz="8" w:color="auto"/>
              <w:right w:val="single" w:sz="8" w:color="auto"/>
            </w:tcBorders>
          </w:tcPr>
          <w:p>
            <w:pPr>
              <w:spacing w:after="0"/>
              <w:rPr>
                <w:sz w:val="11"/>
                <w:szCs w:val="11"/>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microglial activation</w:t>
            </w:r>
          </w:p>
        </w:tc>
        <w:tc>
          <w:tcPr>
            <w:tcW w:w="112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388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Japan, Israel</w:t>
            </w: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80" w:type="dxa"/>
            <w:vAlign w:val="bottom"/>
            <w:tcBorders>
              <w:bottom w:val="single" w:sz="8" w:color="auto"/>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Combinations Of Foralumab</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 Glucagon-Like Peptide 1</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(Glp-1) Agonists Or Sodium-</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2044</w:t>
            </w:r>
          </w:p>
        </w:tc>
        <w:tc>
          <w:tcPr>
            <w:tcW w:w="20" w:type="dxa"/>
            <w:vAlign w:val="bottom"/>
          </w:tcPr>
          <w:p>
            <w:pPr>
              <w:spacing w:after="0"/>
              <w:rPr>
                <w:sz w:val="18"/>
                <w:szCs w:val="18"/>
                <w:color w:val="auto"/>
              </w:rPr>
            </w:pPr>
          </w:p>
        </w:tc>
        <w:tc>
          <w:tcPr>
            <w:tcW w:w="388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Pending: PCT</w:t>
            </w:r>
          </w:p>
        </w:tc>
        <w:tc>
          <w:tcPr>
            <w:tcW w:w="0" w:type="dxa"/>
            <w:vAlign w:val="bottom"/>
          </w:tcPr>
          <w:p>
            <w:pPr>
              <w:spacing w:after="0"/>
              <w:rPr>
                <w:sz w:val="1"/>
                <w:szCs w:val="1"/>
                <w:color w:val="auto"/>
              </w:rPr>
            </w:pPr>
          </w:p>
        </w:tc>
      </w:tr>
      <w:tr>
        <w:trPr>
          <w:trHeight w:val="86"/>
        </w:trPr>
        <w:tc>
          <w:tcPr>
            <w:tcW w:w="1820" w:type="dxa"/>
            <w:vAlign w:val="bottom"/>
            <w:tcBorders>
              <w:left w:val="single" w:sz="8" w:color="auto"/>
              <w:right w:val="single" w:sz="8" w:color="auto"/>
            </w:tcBorders>
          </w:tcPr>
          <w:p>
            <w:pPr>
              <w:spacing w:after="0"/>
              <w:rPr>
                <w:sz w:val="7"/>
                <w:szCs w:val="7"/>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Glucose Cotransporter-2 (Sglt2)</w:t>
            </w:r>
          </w:p>
        </w:tc>
        <w:tc>
          <w:tcPr>
            <w:tcW w:w="11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3880" w:type="dxa"/>
            <w:vAlign w:val="bottom"/>
            <w:tcBorders>
              <w:right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820" w:type="dxa"/>
            <w:vAlign w:val="bottom"/>
            <w:tcBorders>
              <w:left w:val="single" w:sz="8" w:color="auto"/>
              <w:right w:val="single" w:sz="8" w:color="auto"/>
            </w:tcBorders>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Inhibitors And Methods Of Use</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Thereof for Obesity</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9"/>
        </w:trPr>
        <w:tc>
          <w:tcPr>
            <w:tcW w:w="18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70</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76" w:name="page77"/>
    <w:bookmarkEnd w:id="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820" w:type="dxa"/>
            <w:vAlign w:val="bottom"/>
            <w:tcBorders>
              <w:top w:val="single" w:sz="8" w:color="auto"/>
              <w:left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Family</w:t>
            </w:r>
          </w:p>
        </w:tc>
        <w:tc>
          <w:tcPr>
            <w:tcW w:w="2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Subject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Priority</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Expires</w:t>
            </w:r>
          </w:p>
        </w:tc>
        <w:tc>
          <w:tcPr>
            <w:tcW w:w="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30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Glp-1 Agonists And Foralumab</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2045</w:t>
            </w:r>
          </w:p>
        </w:tc>
        <w:tc>
          <w:tcPr>
            <w:tcW w:w="20" w:type="dxa"/>
            <w:vAlign w:val="bottom"/>
          </w:tcPr>
          <w:p>
            <w:pPr>
              <w:spacing w:after="0"/>
              <w:rPr>
                <w:sz w:val="18"/>
                <w:szCs w:val="18"/>
                <w:color w:val="auto"/>
              </w:rPr>
            </w:pPr>
          </w:p>
        </w:tc>
        <w:tc>
          <w:tcPr>
            <w:tcW w:w="38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Pending: PCT</w:t>
            </w:r>
          </w:p>
        </w:tc>
        <w:tc>
          <w:tcPr>
            <w:tcW w:w="0" w:type="dxa"/>
            <w:vAlign w:val="bottom"/>
          </w:tcPr>
          <w:p>
            <w:pPr>
              <w:spacing w:after="0"/>
              <w:rPr>
                <w:sz w:val="1"/>
                <w:szCs w:val="1"/>
                <w:color w:val="auto"/>
              </w:rPr>
            </w:pPr>
          </w:p>
        </w:tc>
      </w:tr>
      <w:tr>
        <w:trPr>
          <w:trHeight w:val="86"/>
        </w:trPr>
        <w:tc>
          <w:tcPr>
            <w:tcW w:w="1820" w:type="dxa"/>
            <w:vAlign w:val="bottom"/>
            <w:tcBorders>
              <w:left w:val="single" w:sz="8" w:color="auto"/>
              <w:right w:val="single" w:sz="8" w:color="auto"/>
            </w:tcBorders>
          </w:tcPr>
          <w:p>
            <w:pPr>
              <w:spacing w:after="0"/>
              <w:rPr>
                <w:sz w:val="7"/>
                <w:szCs w:val="7"/>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Combination Therapies</w:t>
            </w:r>
          </w:p>
        </w:tc>
        <w:tc>
          <w:tcPr>
            <w:tcW w:w="11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38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820" w:type="dxa"/>
            <w:vAlign w:val="bottom"/>
            <w:tcBorders>
              <w:left w:val="single" w:sz="8" w:color="auto"/>
              <w:right w:val="single" w:sz="8" w:color="auto"/>
            </w:tcBorders>
          </w:tcPr>
          <w:p>
            <w:pPr>
              <w:spacing w:after="0"/>
              <w:rPr>
                <w:sz w:val="11"/>
                <w:szCs w:val="11"/>
                <w:color w:val="auto"/>
              </w:rPr>
            </w:pPr>
          </w:p>
        </w:tc>
        <w:tc>
          <w:tcPr>
            <w:tcW w:w="248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Anti-Cd20 Antibody And</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right w:val="single" w:sz="8" w:color="auto"/>
            </w:tcBorders>
          </w:tcPr>
          <w:p>
            <w:pPr>
              <w:spacing w:after="0"/>
              <w:rPr>
                <w:sz w:val="16"/>
                <w:szCs w:val="16"/>
                <w:color w:val="auto"/>
              </w:rPr>
            </w:pPr>
          </w:p>
        </w:tc>
        <w:tc>
          <w:tcPr>
            <w:tcW w:w="24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Foralumab Combination</w:t>
            </w:r>
          </w:p>
        </w:tc>
        <w:tc>
          <w:tcPr>
            <w:tcW w:w="11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2024</w:t>
            </w:r>
          </w:p>
        </w:tc>
        <w:tc>
          <w:tcPr>
            <w:tcW w:w="11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Pending</w:t>
            </w:r>
          </w:p>
        </w:tc>
        <w:tc>
          <w:tcPr>
            <w:tcW w:w="8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880" w:type="dxa"/>
            <w:vAlign w:val="bottom"/>
            <w:tcBorders>
              <w:right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Pending: Provisional application</w:t>
            </w: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spacing w:after="0"/>
              <w:rPr>
                <w:sz w:val="20"/>
                <w:szCs w:val="20"/>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Therapies</w:t>
            </w: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Foralumab Combination</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right w:val="single" w:sz="8" w:color="auto"/>
            </w:tcBorders>
          </w:tcPr>
          <w:p>
            <w:pPr>
              <w:spacing w:after="0"/>
              <w:rPr>
                <w:sz w:val="16"/>
                <w:szCs w:val="16"/>
                <w:color w:val="auto"/>
              </w:rPr>
            </w:pPr>
          </w:p>
        </w:tc>
        <w:tc>
          <w:tcPr>
            <w:tcW w:w="2480" w:type="dxa"/>
            <w:vAlign w:val="bottom"/>
            <w:tcBorders>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Therapies For The Treatment Of</w:t>
            </w:r>
          </w:p>
        </w:tc>
        <w:tc>
          <w:tcPr>
            <w:tcW w:w="11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2025</w:t>
            </w:r>
          </w:p>
        </w:tc>
        <w:tc>
          <w:tcPr>
            <w:tcW w:w="11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Pending</w:t>
            </w:r>
          </w:p>
        </w:tc>
        <w:tc>
          <w:tcPr>
            <w:tcW w:w="8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880" w:type="dxa"/>
            <w:vAlign w:val="bottom"/>
            <w:tcBorders>
              <w:right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Pending: PCT</w:t>
            </w: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spacing w:after="0"/>
              <w:rPr>
                <w:sz w:val="20"/>
                <w:szCs w:val="20"/>
                <w:color w:val="auto"/>
              </w:rPr>
            </w:pPr>
          </w:p>
        </w:tc>
        <w:tc>
          <w:tcPr>
            <w:tcW w:w="2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Alzheimer’s Disease</w:t>
            </w: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Methods of Treating Multiple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Pending: Provisional application</w:t>
            </w:r>
          </w:p>
        </w:tc>
        <w:tc>
          <w:tcPr>
            <w:tcW w:w="0" w:type="dxa"/>
            <w:vAlign w:val="bottom"/>
          </w:tcPr>
          <w:p>
            <w:pPr>
              <w:spacing w:after="0"/>
              <w:rPr>
                <w:sz w:val="1"/>
                <w:szCs w:val="1"/>
                <w:color w:val="auto"/>
              </w:rPr>
            </w:pPr>
          </w:p>
        </w:tc>
      </w:tr>
      <w:tr>
        <w:trPr>
          <w:trHeight w:val="86"/>
        </w:trPr>
        <w:tc>
          <w:tcPr>
            <w:tcW w:w="1820" w:type="dxa"/>
            <w:vAlign w:val="bottom"/>
            <w:tcBorders>
              <w:left w:val="single" w:sz="8" w:color="auto"/>
              <w:right w:val="single" w:sz="8" w:color="auto"/>
            </w:tcBorders>
          </w:tcPr>
          <w:p>
            <w:pPr>
              <w:spacing w:after="0"/>
              <w:rPr>
                <w:sz w:val="7"/>
                <w:szCs w:val="7"/>
                <w:color w:val="auto"/>
              </w:rPr>
            </w:pPr>
          </w:p>
        </w:tc>
        <w:tc>
          <w:tcPr>
            <w:tcW w:w="2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Systems Atrophy</w:t>
            </w:r>
          </w:p>
        </w:tc>
        <w:tc>
          <w:tcPr>
            <w:tcW w:w="11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820" w:type="dxa"/>
            <w:vAlign w:val="bottom"/>
            <w:tcBorders>
              <w:left w:val="single" w:sz="8" w:color="auto"/>
              <w:right w:val="single" w:sz="8" w:color="auto"/>
            </w:tcBorders>
          </w:tcPr>
          <w:p>
            <w:pPr>
              <w:spacing w:after="0"/>
              <w:rPr>
                <w:sz w:val="11"/>
                <w:szCs w:val="11"/>
                <w:color w:val="auto"/>
              </w:rPr>
            </w:pPr>
          </w:p>
        </w:tc>
        <w:tc>
          <w:tcPr>
            <w:tcW w:w="248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Treatment Of Intracerebral</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right w:val="single" w:sz="8" w:color="auto"/>
            </w:tcBorders>
          </w:tcPr>
          <w:p>
            <w:pPr>
              <w:spacing w:after="0"/>
              <w:rPr>
                <w:sz w:val="16"/>
                <w:szCs w:val="16"/>
                <w:color w:val="auto"/>
              </w:rPr>
            </w:pPr>
          </w:p>
        </w:tc>
        <w:tc>
          <w:tcPr>
            <w:tcW w:w="2480" w:type="dxa"/>
            <w:vAlign w:val="bottom"/>
            <w:tcBorders>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Hemorrhage By Nasal</w:t>
            </w:r>
          </w:p>
        </w:tc>
        <w:tc>
          <w:tcPr>
            <w:tcW w:w="11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2024</w:t>
            </w:r>
          </w:p>
        </w:tc>
        <w:tc>
          <w:tcPr>
            <w:tcW w:w="11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Pending</w:t>
            </w:r>
          </w:p>
        </w:tc>
        <w:tc>
          <w:tcPr>
            <w:tcW w:w="8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2045</w:t>
            </w:r>
          </w:p>
        </w:tc>
        <w:tc>
          <w:tcPr>
            <w:tcW w:w="20" w:type="dxa"/>
            <w:vAlign w:val="bottom"/>
          </w:tcPr>
          <w:p>
            <w:pPr>
              <w:spacing w:after="0"/>
              <w:rPr>
                <w:sz w:val="16"/>
                <w:szCs w:val="16"/>
                <w:color w:val="auto"/>
              </w:rPr>
            </w:pPr>
          </w:p>
        </w:tc>
        <w:tc>
          <w:tcPr>
            <w:tcW w:w="3880" w:type="dxa"/>
            <w:vAlign w:val="bottom"/>
            <w:tcBorders>
              <w:right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Pending: PCT</w:t>
            </w: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spacing w:after="0"/>
              <w:rPr>
                <w:sz w:val="20"/>
                <w:szCs w:val="20"/>
                <w:color w:val="auto"/>
              </w:rPr>
            </w:pPr>
          </w:p>
        </w:tc>
        <w:tc>
          <w:tcPr>
            <w:tcW w:w="2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Foralumab</w:t>
            </w: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Treatment Of Spinal Chord</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2045</w:t>
            </w:r>
          </w:p>
        </w:tc>
        <w:tc>
          <w:tcPr>
            <w:tcW w:w="20" w:type="dxa"/>
            <w:vAlign w:val="bottom"/>
          </w:tcPr>
          <w:p>
            <w:pPr>
              <w:spacing w:after="0"/>
              <w:rPr>
                <w:sz w:val="18"/>
                <w:szCs w:val="18"/>
                <w:color w:val="auto"/>
              </w:rPr>
            </w:pPr>
          </w:p>
        </w:tc>
        <w:tc>
          <w:tcPr>
            <w:tcW w:w="38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Pending: PCT</w:t>
            </w:r>
          </w:p>
        </w:tc>
        <w:tc>
          <w:tcPr>
            <w:tcW w:w="0" w:type="dxa"/>
            <w:vAlign w:val="bottom"/>
          </w:tcPr>
          <w:p>
            <w:pPr>
              <w:spacing w:after="0"/>
              <w:rPr>
                <w:sz w:val="1"/>
                <w:szCs w:val="1"/>
                <w:color w:val="auto"/>
              </w:rPr>
            </w:pPr>
          </w:p>
        </w:tc>
      </w:tr>
      <w:tr>
        <w:trPr>
          <w:trHeight w:val="86"/>
        </w:trPr>
        <w:tc>
          <w:tcPr>
            <w:tcW w:w="1820" w:type="dxa"/>
            <w:vAlign w:val="bottom"/>
            <w:tcBorders>
              <w:left w:val="single" w:sz="8" w:color="auto"/>
              <w:right w:val="single" w:sz="8" w:color="auto"/>
            </w:tcBorders>
          </w:tcPr>
          <w:p>
            <w:pPr>
              <w:spacing w:after="0"/>
              <w:rPr>
                <w:sz w:val="7"/>
                <w:szCs w:val="7"/>
                <w:color w:val="auto"/>
              </w:rPr>
            </w:pPr>
          </w:p>
        </w:tc>
        <w:tc>
          <w:tcPr>
            <w:tcW w:w="2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Injury By Nasal Foralumab</w:t>
            </w:r>
          </w:p>
        </w:tc>
        <w:tc>
          <w:tcPr>
            <w:tcW w:w="11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38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820" w:type="dxa"/>
            <w:vAlign w:val="bottom"/>
            <w:tcBorders>
              <w:left w:val="single" w:sz="8" w:color="auto"/>
              <w:right w:val="single" w:sz="8" w:color="auto"/>
            </w:tcBorders>
          </w:tcPr>
          <w:p>
            <w:pPr>
              <w:spacing w:after="0"/>
              <w:rPr>
                <w:sz w:val="11"/>
                <w:szCs w:val="11"/>
                <w:color w:val="auto"/>
              </w:rPr>
            </w:pPr>
          </w:p>
        </w:tc>
        <w:tc>
          <w:tcPr>
            <w:tcW w:w="248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Biomarkers Of Nasal Foralumab</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right w:val="single" w:sz="8" w:color="auto"/>
            </w:tcBorders>
          </w:tcPr>
          <w:p>
            <w:pPr>
              <w:spacing w:after="0"/>
              <w:rPr>
                <w:sz w:val="16"/>
                <w:szCs w:val="16"/>
                <w:color w:val="auto"/>
              </w:rPr>
            </w:pPr>
          </w:p>
        </w:tc>
        <w:tc>
          <w:tcPr>
            <w:tcW w:w="2480" w:type="dxa"/>
            <w:vAlign w:val="bottom"/>
            <w:tcBorders>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Treatment Response In</w:t>
            </w:r>
          </w:p>
        </w:tc>
        <w:tc>
          <w:tcPr>
            <w:tcW w:w="11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2025</w:t>
            </w:r>
          </w:p>
        </w:tc>
        <w:tc>
          <w:tcPr>
            <w:tcW w:w="11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Pending</w:t>
            </w:r>
          </w:p>
        </w:tc>
        <w:tc>
          <w:tcPr>
            <w:tcW w:w="8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2046</w:t>
            </w:r>
          </w:p>
        </w:tc>
        <w:tc>
          <w:tcPr>
            <w:tcW w:w="20" w:type="dxa"/>
            <w:vAlign w:val="bottom"/>
          </w:tcPr>
          <w:p>
            <w:pPr>
              <w:spacing w:after="0"/>
              <w:rPr>
                <w:sz w:val="16"/>
                <w:szCs w:val="16"/>
                <w:color w:val="auto"/>
              </w:rPr>
            </w:pPr>
          </w:p>
        </w:tc>
        <w:tc>
          <w:tcPr>
            <w:tcW w:w="3880" w:type="dxa"/>
            <w:vAlign w:val="bottom"/>
            <w:tcBorders>
              <w:right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Pending: PCT</w:t>
            </w: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spacing w:after="0"/>
              <w:rPr>
                <w:sz w:val="20"/>
                <w:szCs w:val="20"/>
                <w:color w:val="auto"/>
              </w:rPr>
            </w:pPr>
          </w:p>
        </w:tc>
        <w:tc>
          <w:tcPr>
            <w:tcW w:w="2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Progressive MS</w:t>
            </w: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Family</w:t>
            </w:r>
          </w:p>
        </w:tc>
        <w:tc>
          <w:tcPr>
            <w:tcW w:w="2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Subject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Priority</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Expires</w:t>
            </w:r>
          </w:p>
        </w:tc>
        <w:tc>
          <w:tcPr>
            <w:tcW w:w="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334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20" w:type="dxa"/>
            <w:vAlign w:val="bottom"/>
            <w:tcBorders>
              <w:left w:val="single" w:sz="8" w:color="auto"/>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right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Issued: United States, Austria, Australia, Belgium,</w:t>
            </w:r>
          </w:p>
        </w:tc>
        <w:tc>
          <w:tcPr>
            <w:tcW w:w="0" w:type="dxa"/>
            <w:vAlign w:val="bottom"/>
          </w:tcPr>
          <w:p>
            <w:pPr>
              <w:spacing w:after="0"/>
              <w:rPr>
                <w:sz w:val="1"/>
                <w:szCs w:val="1"/>
                <w:color w:val="auto"/>
              </w:rPr>
            </w:pPr>
          </w:p>
        </w:tc>
      </w:tr>
      <w:tr>
        <w:trPr>
          <w:trHeight w:val="20"/>
        </w:trPr>
        <w:tc>
          <w:tcPr>
            <w:tcW w:w="1820" w:type="dxa"/>
            <w:vAlign w:val="bottom"/>
            <w:tcBorders>
              <w:left w:val="single" w:sz="8" w:color="auto"/>
              <w:right w:val="single" w:sz="8" w:color="auto"/>
            </w:tcBorders>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Composition of matter and</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Canada, China, Denmark, France, Germany, India,</w:t>
            </w: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20" w:type="dxa"/>
            <w:vAlign w:val="bottom"/>
          </w:tcPr>
          <w:p>
            <w:pPr>
              <w:spacing w:after="0"/>
              <w:rPr>
                <w:sz w:val="9"/>
                <w:szCs w:val="9"/>
                <w:color w:val="auto"/>
              </w:rPr>
            </w:pPr>
          </w:p>
        </w:tc>
        <w:tc>
          <w:tcPr>
            <w:tcW w:w="38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Ireland, Israel, Italy, Japan, Luxembourg, Mexico,</w:t>
            </w: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tcPr>
          <w:p>
            <w:pPr>
              <w:spacing w:after="0"/>
              <w:rPr>
                <w:sz w:val="9"/>
                <w:szCs w:val="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methods of use</w:t>
            </w:r>
          </w:p>
        </w:tc>
        <w:tc>
          <w:tcPr>
            <w:tcW w:w="11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38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820" w:type="dxa"/>
            <w:vAlign w:val="bottom"/>
            <w:tcBorders>
              <w:left w:val="single" w:sz="8" w:color="auto"/>
              <w:right w:val="single" w:sz="8" w:color="auto"/>
            </w:tcBorders>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Netherlands, Spain, Sweden, Switzerland and United</w:t>
            </w:r>
          </w:p>
        </w:tc>
        <w:tc>
          <w:tcPr>
            <w:tcW w:w="0" w:type="dxa"/>
            <w:vAlign w:val="bottom"/>
          </w:tcPr>
          <w:p>
            <w:pPr>
              <w:spacing w:after="0"/>
              <w:rPr>
                <w:sz w:val="1"/>
                <w:szCs w:val="1"/>
                <w:color w:val="auto"/>
              </w:rPr>
            </w:pPr>
          </w:p>
        </w:tc>
      </w:tr>
      <w:tr>
        <w:trPr>
          <w:trHeight w:val="90"/>
        </w:trPr>
        <w:tc>
          <w:tcPr>
            <w:tcW w:w="1820" w:type="dxa"/>
            <w:vAlign w:val="bottom"/>
            <w:tcBorders>
              <w:left w:val="single" w:sz="8" w:color="auto"/>
              <w:right w:val="single" w:sz="8" w:color="auto"/>
            </w:tcBorders>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 IL-6/IL-6R</w:t>
            </w:r>
          </w:p>
        </w:tc>
        <w:tc>
          <w:tcPr>
            <w:tcW w:w="248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Kingdom</w:t>
            </w:r>
          </w:p>
        </w:tc>
        <w:tc>
          <w:tcPr>
            <w:tcW w:w="0" w:type="dxa"/>
            <w:vAlign w:val="bottom"/>
          </w:tcPr>
          <w:p>
            <w:pPr>
              <w:spacing w:after="0"/>
              <w:rPr>
                <w:sz w:val="1"/>
                <w:szCs w:val="1"/>
                <w:color w:val="auto"/>
              </w:rPr>
            </w:pPr>
          </w:p>
        </w:tc>
      </w:tr>
      <w:tr>
        <w:trPr>
          <w:trHeight w:val="218"/>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Antibody TZLS-501</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Compositions of IL-6/IL-6R</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antibodies and methods of use</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Pending: United States, Europe, Australia, Canada,</w:t>
            </w:r>
          </w:p>
        </w:tc>
        <w:tc>
          <w:tcPr>
            <w:tcW w:w="0" w:type="dxa"/>
            <w:vAlign w:val="bottom"/>
          </w:tcPr>
          <w:p>
            <w:pPr>
              <w:spacing w:after="0"/>
              <w:rPr>
                <w:sz w:val="1"/>
                <w:szCs w:val="1"/>
                <w:color w:val="auto"/>
              </w:rPr>
            </w:pPr>
          </w:p>
        </w:tc>
      </w:tr>
      <w:tr>
        <w:trPr>
          <w:trHeight w:val="86"/>
        </w:trPr>
        <w:tc>
          <w:tcPr>
            <w:tcW w:w="1820" w:type="dxa"/>
            <w:vAlign w:val="bottom"/>
            <w:tcBorders>
              <w:left w:val="single" w:sz="8" w:color="auto"/>
              <w:right w:val="single" w:sz="8" w:color="auto"/>
            </w:tcBorders>
          </w:tcPr>
          <w:p>
            <w:pPr>
              <w:spacing w:after="0"/>
              <w:rPr>
                <w:sz w:val="7"/>
                <w:szCs w:val="7"/>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thereof (coronavirus includes</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2041</w:t>
            </w:r>
          </w:p>
        </w:tc>
        <w:tc>
          <w:tcPr>
            <w:tcW w:w="20" w:type="dxa"/>
            <w:vAlign w:val="bottom"/>
          </w:tcPr>
          <w:p>
            <w:pPr>
              <w:spacing w:after="0"/>
              <w:rPr>
                <w:sz w:val="7"/>
                <w:szCs w:val="7"/>
                <w:color w:val="auto"/>
              </w:rPr>
            </w:pPr>
          </w:p>
        </w:tc>
        <w:tc>
          <w:tcPr>
            <w:tcW w:w="38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tcBorders>
              <w:left w:val="single" w:sz="8" w:color="auto"/>
              <w:right w:val="single" w:sz="8" w:color="auto"/>
            </w:tcBorders>
          </w:tcPr>
          <w:p>
            <w:pPr>
              <w:spacing w:after="0" w:line="20" w:lineRule="exact"/>
              <w:rPr>
                <w:sz w:val="1"/>
                <w:szCs w:val="1"/>
                <w:color w:val="auto"/>
              </w:rPr>
            </w:pPr>
          </w:p>
        </w:tc>
        <w:tc>
          <w:tcPr>
            <w:tcW w:w="2480" w:type="dxa"/>
            <w:vAlign w:val="bottom"/>
            <w:tcBorders>
              <w:right w:val="single" w:sz="8" w:color="auto"/>
            </w:tcBorders>
            <w:vMerge w:val="continue"/>
          </w:tcPr>
          <w:p>
            <w:pPr>
              <w:spacing w:after="0" w:line="20" w:lineRule="exact"/>
              <w:rPr>
                <w:sz w:val="1"/>
                <w:szCs w:val="1"/>
                <w:color w:val="auto"/>
              </w:rPr>
            </w:pPr>
          </w:p>
        </w:tc>
        <w:tc>
          <w:tcPr>
            <w:tcW w:w="1120" w:type="dxa"/>
            <w:vAlign w:val="bottom"/>
            <w:tcBorders>
              <w:right w:val="single" w:sz="8" w:color="auto"/>
            </w:tcBorders>
            <w:vMerge w:val="continue"/>
          </w:tcPr>
          <w:p>
            <w:pPr>
              <w:spacing w:after="0" w:line="20" w:lineRule="exact"/>
              <w:rPr>
                <w:sz w:val="1"/>
                <w:szCs w:val="1"/>
                <w:color w:val="auto"/>
              </w:rPr>
            </w:pPr>
          </w:p>
        </w:tc>
        <w:tc>
          <w:tcPr>
            <w:tcW w:w="1120" w:type="dxa"/>
            <w:vAlign w:val="bottom"/>
            <w:tcBorders>
              <w:right w:val="single" w:sz="8" w:color="auto"/>
            </w:tcBorders>
            <w:vMerge w:val="continue"/>
          </w:tcPr>
          <w:p>
            <w:pPr>
              <w:spacing w:after="0" w:line="20" w:lineRule="exact"/>
              <w:rPr>
                <w:sz w:val="1"/>
                <w:szCs w:val="1"/>
                <w:color w:val="auto"/>
              </w:rPr>
            </w:pPr>
          </w:p>
        </w:tc>
        <w:tc>
          <w:tcPr>
            <w:tcW w:w="800" w:type="dxa"/>
            <w:vAlign w:val="bottom"/>
            <w:tcBorders>
              <w:right w:val="single" w:sz="8" w:color="auto"/>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340" w:type="dxa"/>
            <w:vAlign w:val="bottom"/>
            <w:tcBorders>
              <w:left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820" w:type="dxa"/>
            <w:vAlign w:val="bottom"/>
            <w:tcBorders>
              <w:left w:val="single" w:sz="8" w:color="auto"/>
              <w:right w:val="single" w:sz="8" w:color="auto"/>
            </w:tcBorders>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38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China, Israel, Japan</w:t>
            </w:r>
          </w:p>
        </w:tc>
        <w:tc>
          <w:tcPr>
            <w:tcW w:w="0" w:type="dxa"/>
            <w:vAlign w:val="bottom"/>
          </w:tcPr>
          <w:p>
            <w:pPr>
              <w:spacing w:after="0"/>
              <w:rPr>
                <w:sz w:val="1"/>
                <w:szCs w:val="1"/>
                <w:color w:val="auto"/>
              </w:rPr>
            </w:pPr>
          </w:p>
        </w:tc>
      </w:tr>
      <w:tr>
        <w:trPr>
          <w:trHeight w:val="126"/>
        </w:trPr>
        <w:tc>
          <w:tcPr>
            <w:tcW w:w="1820" w:type="dxa"/>
            <w:vAlign w:val="bottom"/>
            <w:tcBorders>
              <w:left w:val="single" w:sz="8" w:color="auto"/>
              <w:right w:val="single" w:sz="8" w:color="auto"/>
            </w:tcBorders>
          </w:tcPr>
          <w:p>
            <w:pPr>
              <w:spacing w:after="0"/>
              <w:rPr>
                <w:sz w:val="10"/>
                <w:szCs w:val="10"/>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combinations with</w:t>
            </w:r>
          </w:p>
        </w:tc>
        <w:tc>
          <w:tcPr>
            <w:tcW w:w="11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8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820" w:type="dxa"/>
            <w:vAlign w:val="bottom"/>
            <w:tcBorders>
              <w:left w:val="single" w:sz="8" w:color="auto"/>
              <w:right w:val="single" w:sz="8" w:color="auto"/>
            </w:tcBorders>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820" w:type="dxa"/>
            <w:vAlign w:val="bottom"/>
            <w:tcBorders>
              <w:left w:val="single" w:sz="8" w:color="auto"/>
              <w:right w:val="single" w:sz="8" w:color="auto"/>
            </w:tcBorders>
          </w:tcPr>
          <w:p>
            <w:pPr>
              <w:spacing w:after="0"/>
              <w:rPr>
                <w:sz w:val="20"/>
                <w:szCs w:val="20"/>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dactinomycin)</w:t>
            </w: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8"/>
        </w:trPr>
        <w:tc>
          <w:tcPr>
            <w:tcW w:w="18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71</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0" w:right="339" w:bottom="1440" w:gutter="0" w:footer="0" w:header="0"/>
        </w:sectPr>
      </w:pPr>
    </w:p>
    <w:bookmarkStart w:id="77" w:name="page78"/>
    <w:bookmarkEnd w:id="7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Family</w:t>
            </w:r>
          </w:p>
        </w:tc>
        <w:tc>
          <w:tcPr>
            <w:tcW w:w="2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Subject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Priority</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Expires</w:t>
            </w:r>
          </w:p>
        </w:tc>
        <w:tc>
          <w:tcPr>
            <w:tcW w:w="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30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Use of Actinomycin D in the</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treatment of acute myeloid</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2036</w:t>
            </w:r>
          </w:p>
        </w:tc>
        <w:tc>
          <w:tcPr>
            <w:tcW w:w="20" w:type="dxa"/>
            <w:vAlign w:val="bottom"/>
          </w:tcPr>
          <w:p>
            <w:pPr>
              <w:spacing w:after="0"/>
              <w:rPr>
                <w:sz w:val="18"/>
                <w:szCs w:val="18"/>
                <w:color w:val="auto"/>
              </w:rPr>
            </w:pPr>
          </w:p>
        </w:tc>
        <w:tc>
          <w:tcPr>
            <w:tcW w:w="3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United States, Europe, Japan, Australia, Canada</w:t>
            </w:r>
          </w:p>
        </w:tc>
        <w:tc>
          <w:tcPr>
            <w:tcW w:w="0" w:type="dxa"/>
            <w:vAlign w:val="bottom"/>
          </w:tcPr>
          <w:p>
            <w:pPr>
              <w:spacing w:after="0"/>
              <w:rPr>
                <w:sz w:val="1"/>
                <w:szCs w:val="1"/>
                <w:color w:val="auto"/>
              </w:rPr>
            </w:pPr>
          </w:p>
        </w:tc>
      </w:tr>
      <w:tr>
        <w:trPr>
          <w:trHeight w:val="234"/>
        </w:trPr>
        <w:tc>
          <w:tcPr>
            <w:tcW w:w="1820" w:type="dxa"/>
            <w:vAlign w:val="bottom"/>
            <w:tcBorders>
              <w:left w:val="single" w:sz="8" w:color="auto"/>
              <w:right w:val="single" w:sz="8" w:color="auto"/>
            </w:tcBorders>
          </w:tcPr>
          <w:p>
            <w:pPr>
              <w:spacing w:after="0"/>
              <w:rPr>
                <w:sz w:val="20"/>
                <w:szCs w:val="20"/>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leukemia</w:t>
            </w: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Actinomycin D</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Actinomycin D compositions</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820" w:type="dxa"/>
            <w:vAlign w:val="bottom"/>
            <w:tcBorders>
              <w:left w:val="single" w:sz="8" w:color="auto"/>
              <w:right w:val="single" w:sz="8" w:color="auto"/>
            </w:tcBorders>
            <w:vMerge w:val="continue"/>
          </w:tcPr>
          <w:p>
            <w:pPr>
              <w:spacing w:after="0"/>
              <w:rPr>
                <w:sz w:val="7"/>
                <w:szCs w:val="7"/>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and use of the same in the</w:t>
            </w:r>
          </w:p>
        </w:tc>
        <w:tc>
          <w:tcPr>
            <w:tcW w:w="11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3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820" w:type="dxa"/>
            <w:vAlign w:val="bottom"/>
            <w:tcBorders>
              <w:left w:val="single" w:sz="8" w:color="auto"/>
              <w:right w:val="single" w:sz="8" w:color="auto"/>
            </w:tcBorders>
          </w:tcPr>
          <w:p>
            <w:pPr>
              <w:spacing w:after="0"/>
              <w:rPr>
                <w:sz w:val="11"/>
                <w:szCs w:val="11"/>
                <w:color w:val="auto"/>
              </w:rPr>
            </w:pPr>
          </w:p>
        </w:tc>
        <w:tc>
          <w:tcPr>
            <w:tcW w:w="248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Issued/</w:t>
            </w:r>
          </w:p>
        </w:tc>
        <w:tc>
          <w:tcPr>
            <w:tcW w:w="8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88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Issued: United States, Australia, Japan</w:t>
            </w:r>
          </w:p>
        </w:tc>
        <w:tc>
          <w:tcPr>
            <w:tcW w:w="0" w:type="dxa"/>
            <w:vAlign w:val="bottom"/>
          </w:tcPr>
          <w:p>
            <w:pPr>
              <w:spacing w:after="0"/>
              <w:rPr>
                <w:sz w:val="1"/>
                <w:szCs w:val="1"/>
                <w:color w:val="auto"/>
              </w:rPr>
            </w:pPr>
          </w:p>
        </w:tc>
      </w:tr>
      <w:tr>
        <w:trPr>
          <w:trHeight w:val="86"/>
        </w:trPr>
        <w:tc>
          <w:tcPr>
            <w:tcW w:w="1820" w:type="dxa"/>
            <w:vAlign w:val="bottom"/>
            <w:tcBorders>
              <w:left w:val="single" w:sz="8" w:color="auto"/>
              <w:right w:val="single" w:sz="8" w:color="auto"/>
            </w:tcBorders>
          </w:tcPr>
          <w:p>
            <w:pPr>
              <w:spacing w:after="0"/>
              <w:rPr>
                <w:sz w:val="7"/>
                <w:szCs w:val="7"/>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treatment of myelodysplastic</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1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2037</w:t>
            </w:r>
          </w:p>
        </w:tc>
        <w:tc>
          <w:tcPr>
            <w:tcW w:w="20" w:type="dxa"/>
            <w:vAlign w:val="bottom"/>
          </w:tcPr>
          <w:p>
            <w:pPr>
              <w:spacing w:after="0"/>
              <w:rPr>
                <w:sz w:val="7"/>
                <w:szCs w:val="7"/>
                <w:color w:val="auto"/>
              </w:rPr>
            </w:pPr>
          </w:p>
        </w:tc>
        <w:tc>
          <w:tcPr>
            <w:tcW w:w="388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tcBorders>
              <w:left w:val="single" w:sz="8" w:color="auto"/>
              <w:right w:val="single" w:sz="8" w:color="auto"/>
            </w:tcBorders>
          </w:tcPr>
          <w:p>
            <w:pPr>
              <w:spacing w:after="0" w:line="20" w:lineRule="exact"/>
              <w:rPr>
                <w:sz w:val="1"/>
                <w:szCs w:val="1"/>
                <w:color w:val="auto"/>
              </w:rPr>
            </w:pPr>
          </w:p>
        </w:tc>
        <w:tc>
          <w:tcPr>
            <w:tcW w:w="2480" w:type="dxa"/>
            <w:vAlign w:val="bottom"/>
            <w:tcBorders>
              <w:right w:val="single" w:sz="8" w:color="auto"/>
            </w:tcBorders>
            <w:vMerge w:val="continue"/>
          </w:tcPr>
          <w:p>
            <w:pPr>
              <w:spacing w:after="0" w:line="20" w:lineRule="exact"/>
              <w:rPr>
                <w:sz w:val="1"/>
                <w:szCs w:val="1"/>
                <w:color w:val="auto"/>
              </w:rPr>
            </w:pPr>
          </w:p>
        </w:tc>
        <w:tc>
          <w:tcPr>
            <w:tcW w:w="1120" w:type="dxa"/>
            <w:vAlign w:val="bottom"/>
            <w:tcBorders>
              <w:right w:val="single" w:sz="8" w:color="auto"/>
            </w:tcBorders>
            <w:vMerge w:val="continue"/>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820" w:type="dxa"/>
            <w:vAlign w:val="bottom"/>
            <w:tcBorders>
              <w:left w:val="single" w:sz="8" w:color="auto"/>
              <w:right w:val="single" w:sz="8" w:color="auto"/>
            </w:tcBorders>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Pending</w:t>
            </w:r>
          </w:p>
        </w:tc>
        <w:tc>
          <w:tcPr>
            <w:tcW w:w="8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3880" w:type="dxa"/>
            <w:vAlign w:val="bottom"/>
            <w:tcBorders>
              <w:right w:val="single" w:sz="8" w:color="auto"/>
            </w:tcBorders>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Pending: Europe, Canada</w:t>
            </w:r>
          </w:p>
        </w:tc>
        <w:tc>
          <w:tcPr>
            <w:tcW w:w="0" w:type="dxa"/>
            <w:vAlign w:val="bottom"/>
          </w:tcPr>
          <w:p>
            <w:pPr>
              <w:spacing w:after="0"/>
              <w:rPr>
                <w:sz w:val="1"/>
                <w:szCs w:val="1"/>
                <w:color w:val="auto"/>
              </w:rPr>
            </w:pPr>
          </w:p>
        </w:tc>
      </w:tr>
      <w:tr>
        <w:trPr>
          <w:trHeight w:val="86"/>
        </w:trPr>
        <w:tc>
          <w:tcPr>
            <w:tcW w:w="1820" w:type="dxa"/>
            <w:vAlign w:val="bottom"/>
            <w:tcBorders>
              <w:left w:val="single" w:sz="8" w:color="auto"/>
              <w:right w:val="single" w:sz="8" w:color="auto"/>
            </w:tcBorders>
          </w:tcPr>
          <w:p>
            <w:pPr>
              <w:spacing w:after="0"/>
              <w:rPr>
                <w:sz w:val="7"/>
                <w:szCs w:val="7"/>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syndrome and acute myeloid</w:t>
            </w:r>
          </w:p>
        </w:tc>
        <w:tc>
          <w:tcPr>
            <w:tcW w:w="11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8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820" w:type="dxa"/>
            <w:vAlign w:val="bottom"/>
            <w:tcBorders>
              <w:left w:val="single" w:sz="8" w:color="auto"/>
              <w:right w:val="single" w:sz="8" w:color="auto"/>
            </w:tcBorders>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820" w:type="dxa"/>
            <w:vAlign w:val="bottom"/>
            <w:tcBorders>
              <w:left w:val="single" w:sz="8" w:color="auto"/>
              <w:right w:val="single" w:sz="8" w:color="auto"/>
            </w:tcBorders>
          </w:tcPr>
          <w:p>
            <w:pPr>
              <w:spacing w:after="0"/>
              <w:rPr>
                <w:sz w:val="20"/>
                <w:szCs w:val="20"/>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leukemia</w:t>
            </w: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rights to a patent family that discloses formulations of Foralumab and dosing regimens for treating various disorders. This patent family has an issued patent in the U.S., issued patents in Australia, Europe, China, Israel and Japan, and applications pending in the U.S, Australia, Canada, China, Europe, and Hong Kong. The patents in this family will expire in August 2037, excluding any patent term adjustment and patent term extensions available in the U.S and several other jurisdictions.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rights to a patent family that discloses methods of using Foralumab for treating central nervous system (CNS) disorders, licensed from Brigham and Women’s Hospital, Inc. (which is further described below). This patent family comprises two issued patents in Japan and has applications pending in Canada, Europe, Japan, and the United States that, if issued as patents, will expire in June 2038, excluding any patent term adjustment and patent term extensions available in the U.S and several other jurisdictions.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rights to a patent family that discloses methods of using Foralumab for microglial activation, which is co-owned with Brigham and Women’s Hospital Inc. This patent family has pending applications in the U.S. and in Australia, Canada, China, Europe, Israel, and Japan. The patent applications in this family, if issued as patents, will expire in 2042, excluding any patent term adjustment and patent term extensions available in the U.S. and several other jurisdictions.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have rights to a patent family that discloses methods of administering Foralumab subcutaneously for the treatment of various diseases. This family has a pending application in the U.S. Any patents issued in this family will expire in April 2042, excluding any patent term adjustment and patent term extensions available in the U.S and several other jurisdictions.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have rights to a patent family that discloses nasal formulations of Foralumab for the treatment of various diseases. This patent family has pending applications in the U.S. and in Australia, Canada, Europe, and Japan. Any patents issued in this family will expire in 2043, excluding any patent term adjustment and patent term extensions available in the U.S and several other jurisdictions.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rights to a patent family that discloses methods of using Foralumab for microglial activation, which is co-owned with Brigham and Women’s Hospital Inc. This patent family has pending applications in the U.S. and in Australia, Canada, China, Europe, Israel, and Japan. The patent applications in this family, if issued as patents, will expire in 2042, excluding any patent term adjustment and patent term extensions available in the U.S. and several other jurisdictions.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78" w:name="page79"/>
    <w:bookmarkEnd w:id="7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have rights to a PCT application that discloses methods of using Foralumab in combination with GLP-1 agonists for the treatment of obesity, which is co-owned with Brigham and Women’s Hospital Inc. The patent applications in this family, if issued as patents, will expire in 2044, excluding any patent term adjustment and patent term extensions available in the U.S. and several other jurisdictions.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have rights to a PCT patent application that discloses methods of using Foralumab in combination with GLP-1 agonists for the treatment of various neurological conditions, which is co-owned with Brigham and Women’s Hospital Inc. The patent applications in this family, if issued as patents, will expire in 2045, excluding any patent term adjustment and patent term extensions available in the U.S. and several other jurisdictions.</w:t>
      </w:r>
    </w:p>
    <w:p>
      <w:pPr>
        <w:spacing w:after="0" w:line="176"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8"/>
          <w:szCs w:val="18"/>
          <w:color w:val="auto"/>
        </w:rPr>
        <w:t>We also have rights to a provisional patent application that discloses methods of using Foralumab in combination with anti-CD20 therapies, which is co-owned with Brigham and Women’s Hospital Inc. The patent applications in this family, if issued as patents, will expire in 2046, excluding any patent term adjustment and patent term extensions available in the U.S. and several other jurisdictions.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have rights to a provisional patent application that discloses methods of using Foralumab in combination with anti-amyloid therapies, which is co-owned with Brigham and Women’s Hospital Inc. The patent applications in this family, if issued as patents, will expire in 2046, excluding any patent term adjustment and patent term extensions available in the U.S. and several other jurisdictions.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have rights to a provisional patent application that discloses methods of using Foralumab to treat Multiple Systems Atrophy. The patent applications in this family, if issued as patents, will expire in 2046, excluding any patent term adjustment and patent term extensions available in the U.S. and several other jurisdictions.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also have rights to a PCT application that discloses methods of using Foralumab for the treatment of Intra-Cerebral Hemorrhage, which is licensed from the Brigham and Women’s Hospital Inc. The patent applications in this family, if issued as patents, will expire in 2045, excluding any patent term adjustment and patent term extensions available in the U.S. and several other jurisdictions.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have rights to a PCT application that discloses methods of using Foralumab for the treatment of Spinal Cord Injury, which is licensed from the Brigham and Women’s Hospital Inc. The patent applications in this family, if issued as patents, will expire in 2045, excluding any patent term adjustment and patent term extensions available in the U.S. and several other jurisdictions.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also have rights to a PCT application that discloses biomarkers for nasal foralumab treatment. The patent applications in this family, if issued as patents, will expire in 2046, excluding any patent term adjustment and patent term extensions available in the U.S. and several other jurisdictions.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rights to a patent family that discloses compositions and methods of using TZLS-501 to treat various disorders, licensed from NovImmune S.A. This patent family includes six granted U.S. patents, one granted European patent, and granted patents in Australia, Canada, China, India, Israel, Japan, and Mexico. The patents in this family will expire in May 2029, excluding any patent term extensions available in several jurisdictions, such as Europe.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rights to a second patent family that discloses methods of using TZLS-501 to treat coronavirus alone and in combination with Actinomycin D. This patent family includes pending applications in the U.S., Australia, Canada, China, Europe, Israel, and Japan. The patent applications in this family, if issued as patents, will expire in March 2041, excluding any patent term extensions available in several jurisdictions.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have rights to two patent families related to Actinomycin D (ActD). The first family covers the use of ActD in the treatment of acute myeloid leukemia, and includes granted patents in the U.S., Australia, Canada, Japan, and Europe. The patents in this family will expire in September 2036, excluding any patent term adjustment and patent term extension in the U.S. and similar regulatory extensions available in several other jurisdictions, such as Europe.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second ActD family covers nanoparticle formulations of ActD and the use of the same in the treatment of acute myeloid leukemia and myelodysplastic syndrome. In this family, there are two granted patents each in the U.S. and Japan, another granted patent in Australia, and pending applications in Europe and Canada. The patents and patent applications in this family, if issued as patents, will expire in September 2037, excluding any patent term adjustment and patent term extension in the U.S. and similar regulatory extensions available in several other jurisdictions, such as Europe.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future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see “Risk Factors—Risks Related to Our Intellectual Property.”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color w:val="auto"/>
        </w:rPr>
        <w:t>Material Agreements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Novimmune CD3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2014, we entered into a license and sublicense agreement with Novimmune, or the Novimmune CD3 Agreement, pursuant to which we obtained a worldwide, exclusive license to certain patents owned or controlled by Novimmune, or the Novimmune CD3 License, together with a sublicense to certain patent licenses from Bristol-Myers Squibb Company, or BMS, or the BMS CD3 Sublicense, and any associated know-how, biologic materials, clinical data or other technology relating to CD3 receptor mAbs and their use in order to research, develop and commercialize products and services. The Novimmune CD3 License and BMS CD3 Sublicense both confer the right to us to grant sublicenses, and otherwise to employ third party manufacturers and distributors to produce and sell licensed products and services, respectively.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Novimmune CD3 Agreement, Novimmune granted the BMS CD3 Sub-License to us. Novimmune effected such grant pursuant to a research and commercialization agreement between Novimmune and BMS dated September 20, 2014, or the BMS R&amp;C Agreement, and the agreement for the exclusive commercial license for the CD3 licensed product (NI-0401) between Novimmune and BMS dated February 2005.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Novimmune CD3 Agreement, we have full control and authority over the research, development and commercialization of licensed products and services, and are required to exercise commercially reasonable efforts to commercialize such licensed products and services at all times.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our entry into the Novimmune CD3 Agreement we paid an upfront fee of $750,000 to Novimmune (to be on paid by Novimmune to BMS pursuant to the terms of the BMS R&amp;C Agreement), and a further upfront fee of $500,000 to Novimmune. We are required to pay Novimmune installments of $250,000 on each of the 14 month, 26 month and 38 month anniversaries of the date of the Novimmune CD3 Agreement. For the term of the Novimmune Agreement, we are obligated to pay to Novimmune a royalty of a low-single-digit percentage on net sales of licensed products and services, together with any amounts owed to BMS incurred pursuant to the BMS CD3 Sub-License.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terminate the Novimmune CD3 Agreement at any time on 90 days’ written notice, and either party may terminate the Novimmune CD3 Agreement by written notice for a payment breach or any other breach, subject to 45 day and 120 day cure periods, respectively. Absent early termination, the Novimmune CD3 Agreement will continue until the later of, in all countries in which licensed products are marketed pursuant to the Novimmune CD3 Agreement, (a) the expiration of the last claim in an issued, unexpired patent within the licensed patents or a claim that has not been pending more than five years, subject to certain exceptions, which covers the sale of such licensed product or service, or (b) the end of any market exclusivity period granted by the relevant governmental authority in a country that prevents another party from marketing the same licensed product or service.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Novimmune IL-6r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2016, we entered into a license and sublicense agreement with Novimmune, or the Novimmune IL-6r Agreement, pursuant to which we obtained a worldwide, exclusive license to certain patents owned or controlled by Novimmune, or the Novimmune IL-6r License, together with a sub-license to certain patent licenses from BMS, or the BMS IL-6r Sub-License, and any associated know-how, biologic materials, clinical data or other technology relating to IL-6r mAbs and their use in order to research, develop, commercialize products and services. The Novimmune IL-6r License and BMS IL-6r Sub-License both confer the right to us to grant sub-licenses, and otherwise to employ third party manufacturers and distributors to produce and sell licensed products and services, respectively.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Novimmune IL-6r Agreement, Novimmune granted the BMS IL-6r Sub-License. Novimmune effected such grant pursuant to the BMS R&amp;C Agreement and the agreement for the IL-6r exclusive commercial license for the IL-6r antibody licensed product (NI-1201) between Novimmune and BMS dated September 20, 2009, or the IL-6r Commercial License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Novimmune IL-6r Agreement, we have full control and authority over the research, development and commercialization of licensed products and services, and are required to exercise commercially reasonable efforts to commercialize such licensed products and services at all times.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our entry into the Novimmune IL-6r Agreement we paid an upfront fee of $100,000 to Novimmune. For the term of the Novimmune IL-6r Agreement, we are obligated to pay to Novimmune a royalty of a low-single-digit percentage on net sales of licensed products and services, or low-double-digit percentage of any sub-license royalty revenue which we receive that arises from sales of licensed products and services, together with any amounts owed to BMS incurred pursuant to the BMS IL-6r Sub-License.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BMS R&amp;C Agreement and the IL-6r Commercial License Agreement were amended pursuant to an agreement between Novimmune and BMS dated December 2016, or the Novimmune Amendment Agreement. Pursuant to the Novimmune Amendment Agreement, in the event that Novimmune (or, as the case may be, a sublicensee) commercializes a combination product comprising NI-1201 and NI-0401, then such product shall be subject to a single royalty.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terminate the Novimmune IL-6r Agreement at any time on 90 days’ written notice, and either party may terminate the Novimmune IL-6r Agreement by written notice for a payment breach or any other breach, subject to 45 day and 120 day cure periods, respectively. Absent early termination, the Novimmune IL-6r Agreement will continue until the later of, in all countries in which licensed products are marketed pursuant to the Novimmune IL-6r Agreement, (a) the expiration of the last claim in an issued, unexpired patent within the licensed patents or a claim that has not been pending more than five years, subject to certain exceptions, which covers the sale of such licensed product or service, or (b) the end of any market exclusivity period granted by the relevant governmental authority in a country that prevents another party from marketing the same licensed product or service.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122"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Brigham and Women’s Hospital License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29, 2018, we entered into a license agreement, or the BWH License, with BWH pursuant to which we obtained a worldwide exclusive license to a patent owned by BWH for a novel technology discovered by Dr. Howard Weiner. The patent relates to a formulation of Foralumab in a medical device developed for nasal administration of Foralumab. The BWH License extends to any associated know-how, clinical data and use in order to research, develop and commercialize products and services. The BWH License confers on us the right to grant sub-licenses, and otherwise to employ third party manufacturers and distributors to sell licensed products and services.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BWH License we have full control and authority over the research, development and commercialization of licensed products and services and are required to exercise commercially reasonable efforts to commercialize such licensed products and services at all times.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our entry into the BWH License we paid an upfront fee of $10,000 to BWH. We are required to pay annual maintenance fees, all ongoing patent maintenance and prosecution costs and a low single-digit royalty on annual net sales (and a 12% royalty of non-royalty sub-license revenues for the life of the intellectual property). We are also obliged to make certain milestone payments of: (a) US$300,000 within 60 days of first patient enrolled in a Phase 1 human clinical trial; (b) US$600,000 within 60 days of first patient enrolled in a Phase 2 human clinical trial; (c) US$1,500,000 within 60 days of first patient enrolled in a Phase 3 clinical trial; and (d) US$3,000,000 within 60 days of first commercial sale of a licensed product.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terminate the BWH License at any time on 90 days’ written notice, and either party may terminate the BWH License by written notice for payment or other breach, subject to a 60 day cure period. Absent early termination the BWH License will remain in effect until the date on which all patents and filed patent applications have expired or been abandoned.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out details of the Company’s significant subsidiaries: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Country of</w:t>
            </w:r>
          </w:p>
        </w:tc>
      </w:tr>
      <w:tr>
        <w:trPr>
          <w:trHeight w:val="245"/>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Principal activity</w:t>
            </w:r>
          </w:p>
        </w:tc>
        <w:tc>
          <w:tcPr>
            <w:tcW w:w="120" w:type="dxa"/>
            <w:vAlign w:val="bottom"/>
          </w:tcPr>
          <w:p>
            <w:pPr>
              <w:spacing w:after="0"/>
              <w:rPr>
                <w:sz w:val="21"/>
                <w:szCs w:val="21"/>
                <w:color w:val="auto"/>
              </w:rPr>
            </w:pPr>
          </w:p>
        </w:tc>
        <w:tc>
          <w:tcPr>
            <w:tcW w:w="25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Registered address</w:t>
            </w:r>
          </w:p>
        </w:tc>
        <w:tc>
          <w:tcPr>
            <w:tcW w:w="13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shareholding</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r>
      <w:tr>
        <w:trPr>
          <w:trHeight w:val="216"/>
        </w:trPr>
        <w:tc>
          <w:tcPr>
            <w:tcW w:w="2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38"/>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Tiziana Life Sciences Ltd</w:t>
            </w: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stage biotechnology</w:t>
            </w:r>
          </w:p>
        </w:tc>
        <w:tc>
          <w:tcPr>
            <w:tcW w:w="2680" w:type="dxa"/>
            <w:vAlign w:val="bottom"/>
            <w:gridSpan w:val="3"/>
            <w:shd w:val="clear" w:color="auto" w:fill="CCEEFF"/>
          </w:tcPr>
          <w:p>
            <w:pPr>
              <w:ind w:left="120"/>
              <w:spacing w:after="0" w:line="239" w:lineRule="exact"/>
              <w:rPr>
                <w:sz w:val="20"/>
                <w:szCs w:val="20"/>
                <w:color w:val="auto"/>
              </w:rPr>
            </w:pPr>
            <w:r>
              <w:rPr>
                <w:rFonts w:ascii="Times New Roman" w:cs="Times New Roman" w:eastAsia="Times New Roman" w:hAnsi="Times New Roman"/>
                <w:sz w:val="17"/>
                <w:szCs w:val="17"/>
                <w:color w:val="auto"/>
              </w:rPr>
              <w:t>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Floor, 107 Cheapside, London</w:t>
            </w:r>
          </w:p>
        </w:tc>
        <w:tc>
          <w:tcPr>
            <w:tcW w:w="1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4"/>
        </w:trPr>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2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EC2V 6DN</w:t>
            </w:r>
          </w:p>
        </w:tc>
        <w:tc>
          <w:tcPr>
            <w:tcW w:w="13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England &amp; Wales</w:t>
            </w:r>
          </w:p>
        </w:tc>
      </w:tr>
      <w:tr>
        <w:trPr>
          <w:trHeight w:val="23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Tiziana Pharma Limited</w:t>
            </w: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Clinical stage biotechnology</w:t>
            </w:r>
          </w:p>
        </w:tc>
        <w:tc>
          <w:tcPr>
            <w:tcW w:w="2680" w:type="dxa"/>
            <w:vAlign w:val="bottom"/>
            <w:gridSpan w:val="3"/>
          </w:tcPr>
          <w:p>
            <w:pPr>
              <w:ind w:left="120"/>
              <w:spacing w:after="0" w:line="239" w:lineRule="exact"/>
              <w:rPr>
                <w:sz w:val="20"/>
                <w:szCs w:val="20"/>
                <w:color w:val="auto"/>
              </w:rPr>
            </w:pPr>
            <w:r>
              <w:rPr>
                <w:rFonts w:ascii="Times New Roman" w:cs="Times New Roman" w:eastAsia="Times New Roman" w:hAnsi="Times New Roman"/>
                <w:sz w:val="17"/>
                <w:szCs w:val="17"/>
                <w:color w:val="auto"/>
              </w:rPr>
              <w:t>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Floor, 107 Cheapside, London</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4"/>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EC2V 6DN</w:t>
            </w:r>
          </w:p>
        </w:tc>
        <w:tc>
          <w:tcPr>
            <w:tcW w:w="138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England &amp; Wales</w:t>
            </w:r>
          </w:p>
        </w:tc>
      </w:tr>
      <w:tr>
        <w:trPr>
          <w:trHeight w:val="198"/>
        </w:trPr>
        <w:tc>
          <w:tcPr>
            <w:tcW w:w="2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Tiziana Therapeutics Inc.</w:t>
            </w:r>
          </w:p>
        </w:tc>
        <w:tc>
          <w:tcPr>
            <w:tcW w:w="2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Clinical stage biotechnology</w:t>
            </w:r>
          </w:p>
        </w:tc>
        <w:tc>
          <w:tcPr>
            <w:tcW w:w="268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535 Boylston Street BLDG FL 8</w:t>
            </w: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4"/>
        </w:trPr>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2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Boston MA 02116-3778, USA</w:t>
            </w:r>
          </w:p>
        </w:tc>
        <w:tc>
          <w:tcPr>
            <w:tcW w:w="13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r>
      <w:tr>
        <w:trPr>
          <w:trHeight w:val="198"/>
        </w:trPr>
        <w:tc>
          <w:tcPr>
            <w:tcW w:w="2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Longevia Genomics S.r.l.</w:t>
            </w:r>
          </w:p>
        </w:tc>
        <w:tc>
          <w:tcPr>
            <w:tcW w:w="2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Biotechnology discovery</w:t>
            </w:r>
          </w:p>
        </w:tc>
        <w:tc>
          <w:tcPr>
            <w:tcW w:w="268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Via Constantinopoli 42</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09100- Cagliari (CA)</w:t>
            </w:r>
          </w:p>
        </w:tc>
        <w:tc>
          <w:tcPr>
            <w:tcW w:w="138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Italy</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contains information regarding existing or planned material tangible fixed assets owned or leased by Tiziana and its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suitable additional or substitute space will be available as needed to accommodate any future expansion of our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10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Tenure</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Principal Use</w:t>
            </w:r>
          </w:p>
        </w:tc>
        <w:tc>
          <w:tcPr>
            <w:tcW w:w="120" w:type="dxa"/>
            <w:vAlign w:val="bottom"/>
          </w:tcPr>
          <w:p>
            <w:pPr>
              <w:spacing w:after="0"/>
              <w:rPr>
                <w:sz w:val="21"/>
                <w:szCs w:val="21"/>
                <w:color w:val="auto"/>
              </w:rPr>
            </w:pPr>
          </w:p>
        </w:tc>
        <w:tc>
          <w:tcPr>
            <w:tcW w:w="268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Size</w:t>
            </w:r>
          </w:p>
        </w:tc>
      </w:tr>
      <w:tr>
        <w:trPr>
          <w:trHeight w:val="198"/>
        </w:trPr>
        <w:tc>
          <w:tcPr>
            <w:tcW w:w="28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14-15 Conduit Street</w:t>
            </w:r>
          </w:p>
        </w:tc>
        <w:tc>
          <w:tcPr>
            <w:tcW w:w="14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1-year Lease</w:t>
            </w: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Principal Office</w:t>
            </w:r>
          </w:p>
        </w:tc>
        <w:tc>
          <w:tcPr>
            <w:tcW w:w="12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821 square feet</w:t>
            </w:r>
          </w:p>
        </w:tc>
      </w:tr>
      <w:tr>
        <w:trPr>
          <w:trHeight w:val="234"/>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London W1S 2XJ, United Kingdom</w:t>
            </w:r>
          </w:p>
        </w:tc>
        <w:tc>
          <w:tcPr>
            <w:tcW w:w="2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43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10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Tenure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Principal Use</w:t>
            </w:r>
          </w:p>
        </w:tc>
        <w:tc>
          <w:tcPr>
            <w:tcW w:w="120" w:type="dxa"/>
            <w:vAlign w:val="bottom"/>
          </w:tcPr>
          <w:p>
            <w:pPr>
              <w:spacing w:after="0"/>
              <w:rPr>
                <w:sz w:val="24"/>
                <w:szCs w:val="24"/>
                <w:color w:val="auto"/>
              </w:rPr>
            </w:pPr>
          </w:p>
        </w:tc>
        <w:tc>
          <w:tcPr>
            <w:tcW w:w="268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Size</w:t>
            </w:r>
          </w:p>
        </w:tc>
      </w:tr>
      <w:tr>
        <w:trPr>
          <w:trHeight w:val="198"/>
        </w:trPr>
        <w:tc>
          <w:tcPr>
            <w:tcW w:w="28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535 Boylston Street BLDG FL 8</w:t>
            </w:r>
          </w:p>
        </w:tc>
        <w:tc>
          <w:tcPr>
            <w:tcW w:w="14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3-year Lease</w:t>
            </w: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Principal Office</w:t>
            </w:r>
          </w:p>
        </w:tc>
        <w:tc>
          <w:tcPr>
            <w:tcW w:w="12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3,436 square feet</w:t>
            </w:r>
          </w:p>
        </w:tc>
      </w:tr>
      <w:tr>
        <w:trPr>
          <w:trHeight w:val="234"/>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Boston MA 02116-3778, USA</w:t>
            </w:r>
          </w:p>
        </w:tc>
        <w:tc>
          <w:tcPr>
            <w:tcW w:w="2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871"/>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“Selected Consolidated Financial Data” and our consolidated financial statements and the related notes thereto appearing at the end of this Annual Report. We present our consolidated financial statements in U.S. dollars and in accordance with International Financial Reporting Standards, or IFRS, as issued by the International Accounting Standards Board, or IASB.</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Some information included in this discussion and analysis, including statements regarding industry outlook, our expectations regarding our future performance, liquidity and capital resources and other statements regarding our plans and strategy for our business and related financing, are forward-looking statements. These forward-looking statements are subject to numerous risks and uncertainties. You should read the “Risk Factors” section of this Annual Report for a discussion of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We maintain our books and records in Pounds Sterling, and we prepare our financial statements in accordance with IFRS as issued by the IASB.</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report our financial results in U.S. dollars.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description of business highlights in 2025, please refer to “Item 4B. Information on the Company—Business Overview”.</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in March 2014, we have devoted substantially all our resources to conducting preclinical studies and clinical trials, organizing and staffing our company, business planning, raising capital and establishing our intellectual property portfolio. We do not have any products approved for sale and have not generated any revenue from product sales. We have funded our operations to date primarily with proceeds from the sale of ordinary shares. Through December 31, 2025, we had received net cash proceeds of $133.4m from sales of our ordinary shares, issuance of convertible loans, short term loans, options and warrants.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operating losses. Our net loss after taxation was $18.4m for the year ended December 31, 2025, $11.9m for the year ended December 31, 2024 and $17.7m for the year ended December 31, 2023 respectively. As of December 31, 2025, we had cash and cash equivalents of $4.0m.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to continue to incur significant expenses for the foreseeable future as we advance our product candidates through preclinical and clinical development and seek regulatory approval and pursue commercialization of any approved product candidates. In addition, if we obtain marketing approval for any of our product candidates, we expect to incur significant commercialization expenses related to product manufacturing, marketing, sales and distribution.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Trend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2026 best efforts registered direct offering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2026, the Company completed a best efforts registered direct offering of 7,040,000 ordinary shares at a price of $1.25 per ordinary share, raising gross proceeds of $8.8 million (net proceeds of approximately $8.6 million). The offering, which closed on January 16, 2026, was conducted without an underwriter or placement agent pursuant to securities purchase agreements with certain members of senior management and existing shareholders. Ivor Elrifi, the Company's Chief Executive Officer, and Panetta Partners Ltd., an entity associated with Executive Chairman Gabriele Cerrone, were among the purchasers. Each purchaser also received one warrant per ordinary share subscribed, entitling the holder to purchase one additional ordinary share at $1.50 per share, expiring July 16, 2026. Following the offering, 127,259,131 ordinary shares were outstanding. The Company intends to use the net proceeds to fund the completion of its Phase 2a clinical trials in na-SPMS and MSA, including achieving topline data readouts, with the remainder for working capital and general corporate purposes. See Note 26 to the consolidated financial statements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 a party to litigation or subject to claims incident to the ordinary course of business. Although the results of litigation and claims cannot be predicted with certainty, we currently believe that the final outcome of these ordinary course matters will not have a material adverse effect on our business. Regardless of the outcome, litigation can have an adverse impact on us because of defense and settlement costs, diversion of management resources and other factors. We are not currently a party to any material legal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Items included in the financial statements are measured using the currency of the primary economic environment in which the entity operates (the functional currency). The consolidated financial statements are presented in U.S. dollars, which is our presentation currency.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Foreign currency transactions are translated into the functional currency using exchange rates prevailing at the dates of the transactions. Foreign exchange gains and losses resulting from the settlement of foreign currency transactions and from the translation at year-end exchange rates of monetary assets and liabilities denominated in foreign currencies are recognized in the income statement.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statements of overseas subsidiary undertakings are translated into U.S. dollars on the following basis:</w:t>
      </w:r>
    </w:p>
    <w:p>
      <w:pPr>
        <w:spacing w:after="0" w:line="225"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and liabilities at the rate of exchange ruling at the year-end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and loss account items at the average rate of exchange for the year.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Exchange differences arising from the translation of the net investment in foreign entities, borrowings and other currency instruments designated as hedges of such investments, are taken to equity (and recognized in the statement of comprehensive income) 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near future. If our development efforts for our product candidates are successful and result in regulatory approval, we may generate revenue in the future from product sales. Any ad hoc sublicensing revenues have been treated as other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R&amp;D expenses consist primarily of costs incurred in connection with the R&amp;D of our product candidates and are expensed as incurred. These expenses consist of:</w:t>
      </w:r>
    </w:p>
    <w:p>
      <w:pPr>
        <w:spacing w:after="0" w:line="162" w:lineRule="exact"/>
        <w:rPr>
          <w:sz w:val="20"/>
          <w:szCs w:val="20"/>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CMOs, as well as investigative sites and consultants that conduct our clinical trials, preclinical studies and other scientific development services;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scale-up expenses and the cost of acquiring and manufacturing materials for preclinical studies and clinical trial materials;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travel and share-based compensation expense for employees engaged in R&amp;D functions;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costs, depreciation and other expenses, which include rent and utilities;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maintaining our third-party licensing agreements.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external development costs based on an evaluation of the progress to completion of specific tasks using information provided to us by our service providers.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direct R&amp;D expenses are tracked on a program-by-program basis for our product candidates and consist primarily of external costs, such as fees paid to outside consultants, CROs and CMOs in connection with our preclinical development, manufacturing and clinical development activities. Our direct R&amp;D expenses by program also include fees incurred under our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R&amp;D as well as for managing our preclinical development, process development, manufacturing and clinical development activities. These employees work across multiple programs and, therefore, we do not track their costs by program.</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summarizes our R&amp;D expenses incurred by program:</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 research and development expense by program:</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Foralumab</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Milciclib</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TZLS-501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ACT-D</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direct research and development expense</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10,279</w:t>
            </w: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5,229</w:t>
            </w: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8,113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12,955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Indirect research and development expense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10,279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5,229</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R&amp;D activities are central to our business model. Product candidates in later stages of clinical development generally have higher development costs than those in earlier stages of clinical development, primarily due to the increased size and duration of later-stage clinical trials and related product manufacturing expenses. As a result, we expect that our R&amp;D expenses will increase substantially over the next several years as we increase personnel costs and prepare for regulatory filings related to our product candidates. We also expect to incur additional expenses related to milestone, royalty payments and maintenance fees payable to third parties with whom we have entered into license agreements to acquire the rights related to our product candidates.</w:t>
      </w:r>
    </w:p>
    <w:p>
      <w:pPr>
        <w:spacing w:after="0" w:line="1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development and commercialization, including the uncertainty of:</w:t>
      </w:r>
    </w:p>
    <w:p>
      <w:pPr>
        <w:spacing w:after="0" w:line="180"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our preclinical development activities, clinical trials and other R&amp;D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 and CTA-enabling studies;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clinical trials and for commercial launch;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approval.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We may obtain unexpected results from our clinical trials. We may elect to discontinue, delay or modify clinical trials.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related benefits, travel and share-based compensation expense for personnel in executive, finance and administrative functions. General and administrative expenses also include professional fees for legal, consulting, accounting and audit services.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director and officer insurance costs, as well as investor and public relations expenses associated with being a public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 consists of interest on a convertible loan note and income received from a partnership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tax income for a period represents the total of current taxation and deferred taxation. The charges in respect of current taxation are based on the estimated taxable profit for the relevant year. Taxable profit for the year is based on the profit as shown in the income statement, as adjusted for items of income or expenditure which are not deductible or chargeable for tax purposes. The current tax liability for the year is calculated using tax rates which have either been enacted or substantively enacted at the relevant balance sheet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UK tax legislation, small and medium entity R&amp;D relief allows us to claim back up to 14.5% of our surrenderable losses as a tax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A.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results of operations that follow reflect the historic periods under review and should not be taken as indicative of future performance.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2025 and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summarizes our results of operations for the years ended December 31, 2025 and 2024:</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Realization bonus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Income/(expense)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FV Gain (Loss) on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Gain/(Loss) on sale of Investment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income/(expense)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credit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for the year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gridSpan w:val="2"/>
          </w:tcPr>
          <w:p>
            <w:pPr>
              <w:spacing w:after="0"/>
              <w:rPr>
                <w:sz w:val="21"/>
                <w:szCs w:val="21"/>
                <w:color w:val="auto"/>
              </w:rPr>
            </w:pPr>
          </w:p>
        </w:tc>
      </w:tr>
      <w:tr>
        <w:trPr>
          <w:trHeight w:val="234"/>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(in thousands)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5"/>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(10,279)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(5,229)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(5,050)</w:t>
            </w:r>
          </w:p>
        </w:tc>
      </w:tr>
      <w:tr>
        <w:trPr>
          <w:trHeight w:val="229"/>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(10,853)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(10,565)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41"/>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234"/>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(21,132)</w:t>
            </w:r>
          </w:p>
        </w:tc>
        <w:tc>
          <w:tcPr>
            <w:tcW w:w="24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(15,794)</w:t>
            </w: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(5,338)</w:t>
            </w:r>
          </w:p>
        </w:tc>
        <w:tc>
          <w:tcPr>
            <w:tcW w:w="40" w:type="dxa"/>
            <w:vAlign w:val="bottom"/>
          </w:tcPr>
          <w:p>
            <w:pPr>
              <w:spacing w:after="0"/>
              <w:rPr>
                <w:sz w:val="20"/>
                <w:szCs w:val="20"/>
                <w:color w:val="auto"/>
              </w:rPr>
            </w:pPr>
          </w:p>
        </w:tc>
      </w:tr>
      <w:tr>
        <w:trPr>
          <w:trHeight w:val="414"/>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(21,132)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(15,794)</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(5,338)</w:t>
            </w:r>
          </w:p>
        </w:tc>
      </w:tr>
      <w:tr>
        <w:trPr>
          <w:trHeight w:val="63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29"/>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2,333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4,099</w:t>
            </w:r>
          </w:p>
        </w:tc>
        <w:tc>
          <w:tcPr>
            <w:tcW w:w="40" w:type="dxa"/>
            <w:vAlign w:val="bottom"/>
          </w:tcPr>
          <w:p>
            <w:pPr>
              <w:spacing w:after="0"/>
              <w:rPr>
                <w:sz w:val="19"/>
                <w:szCs w:val="19"/>
                <w:color w:val="auto"/>
              </w:rPr>
            </w:pPr>
          </w:p>
        </w:tc>
      </w:tr>
      <w:tr>
        <w:trPr>
          <w:trHeight w:val="241"/>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367</w:t>
            </w:r>
          </w:p>
        </w:tc>
      </w:tr>
      <w:tr>
        <w:trPr>
          <w:trHeight w:val="234"/>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24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3,653</w:t>
            </w:r>
          </w:p>
        </w:tc>
        <w:tc>
          <w:tcPr>
            <w:tcW w:w="40" w:type="dxa"/>
            <w:vAlign w:val="bottom"/>
          </w:tcPr>
          <w:p>
            <w:pPr>
              <w:spacing w:after="0"/>
              <w:rPr>
                <w:sz w:val="20"/>
                <w:szCs w:val="20"/>
                <w:color w:val="auto"/>
              </w:rPr>
            </w:pPr>
          </w:p>
        </w:tc>
      </w:tr>
      <w:tr>
        <w:trPr>
          <w:trHeight w:val="461"/>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(18,431)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(16,746)</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5"/>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(4,883)</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79"/>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(18,431)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(11,863)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(6,568)</w:t>
            </w: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-2682240</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-2407920</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-2108200</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-1833880</wp:posOffset>
            </wp:positionV>
            <wp:extent cx="71323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-1559560</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-1285240</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-985520</wp:posOffset>
            </wp:positionV>
            <wp:extent cx="71323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-668020</wp:posOffset>
            </wp:positionV>
            <wp:extent cx="7132320" cy="162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-351155</wp:posOffset>
            </wp:positionV>
            <wp:extent cx="713232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-25400</wp:posOffset>
            </wp:positionV>
            <wp:extent cx="713232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49" w:lineRule="exact"/>
        <w:rPr>
          <w:sz w:val="20"/>
          <w:szCs w:val="20"/>
          <w:color w:val="auto"/>
        </w:rPr>
      </w:pPr>
    </w:p>
    <w:p>
      <w:pPr>
        <w:sectPr>
          <w:pgSz w:w="11900" w:h="16838" w:orient="portrait"/>
          <w:cols w:equalWidth="0" w:num="2">
            <w:col w:w="6600" w:space="720"/>
            <w:col w:w="392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Gain/(Loss) on currency translation</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(18,519)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(11,935)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(6,584)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were $10.3m for the year ended December 31, 2025 compared to $5.2m for the year ended December 31, 2024, an increase of $5.1m. The increase is a result of ongoing study costs for Foralumab Phase 2 Trial in SPMS and new study costs for Foralumab Phase 2 Trial in MSA and Alzheimer’s as well as the commencement of the Open Label Extension study in SPMS.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Operating expenses were $10.9m for the year ended December 31, 2025 compared to $10.6m for the year ended December 31, 2024, an increase of $0.3m. The increase in operating expenses is a result of writing off amounts owed to Tiziana by a related party, Activia Lifesciences Inc. (formerly Rasna), of $0.6m and a decrease in general expenses of $0.3m.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Finance Income/(expense), net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was finance income during the year of $2.7m the year ended December 31, 2025 as compared to a loss of $1.0m for the year ended December 31, 2024, an increase of $3.7m.</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total gain on FV of the investments increased by $4.1m from $2.3m the year ended December 31, 2025 as compared to a loss of $1.8m for the year ended December 31, 2024. There was a gain of $0.49m due to a change in fair value of the Company’s investment in Accustem Sciences Inc., a related party. The share price for 1.4m shares on December 31, 2024, was $0.45 per share compared to the share price on December 31, 2025 of $0.81 per share. There were .416m Accustem shares issued in December 2025 at $0.40 resulting in a gain of $0.17m. There was a net gain of $0.45m due to a change in fair value of the Company’s investment in Okyo Pharma Ltd., a related party. The share price for 0.5m shares on December 31, 2024, was $1.15 per share compared to the share price on December 31, 2025 of $2.07 per share. Additionally, Tiziana sold 1,658,560 of its shares in OKYO in May 2025 and 450,000 shares in August 2025 resulting in a $3.0m net gain on the sale.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Credit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R&amp;D tax income for 2022 and 2023 was recognized and received in the year ended December 31, 2024. No R&amp;D tax income has been recognized for 2024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2024 and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summarizes our results of operations for the years ended December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(5,229)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(10,565)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Realization bonus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Intellectual Property</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(15,794</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(17,984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 credit</w:t>
            </w:r>
          </w:p>
        </w:tc>
        <w:tc>
          <w:tcPr>
            <w:tcW w:w="24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4,883</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(11,863)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(17,691)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(11,935)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(16,199)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were $5.2m for the year ended December 31, 2024 compared to $8.1m for the year ended December 31, 2023 a decrease of $2.9m. The decrease in cost is a result of the cessation of focus on IL6-R, and a reduction in expected license fee expenditure due to renegotiations with BMS.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expenses were $10.6m for the year ended December 31, 2024 as compared $9.9m for the year ended December 31, 2023, an increase of $0.7m. The increase in operating expenses is a result of an increase in payroll and consulting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color w:val="auto"/>
        </w:rPr>
        <w:t>Other income/(expense)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was finance income during the year of $0.8m the year ended December 31, 2024 as compared to $1.1m for the year ended December 31, 2023, a decrease of $0.3m.</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total loss on FV of the investments increased by $1.3m from $1.7m the year ended December 31, 2024 as compared to $0.4m for the year ended December 31, 2023. There was a loss of $0.2m due to a change in fair value of the Company’s investment in Accustem Sciences Inc., a related party. The share price for 1.3m shares on December 31, 2024, was $0.45 per share compared to the share price on December 31, 2023 of $0.63. There was a net loss of $1.1m due to a change in fair value of the Company’s investment in Okyo Pharma Ltd., a related party. The share price for 2.1m shares on December 31, 2024, was $1.15 per share compared to the share price on December 31, 2023 of $1.77 per share, resulting in a loss on fair value of $1.3m. An additional 500,000 shares in OKYO were issued in lieu of interest during the year for a gain of $0.2m.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Credit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R&amp;D tax income for 2022 and 2023 was recognized and received in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our inception, we have not generated any revenue and have incurred operating losses and negative cash flows from our operations. We have funded our operations to date primarily with proceeds from the sale of ordinary shares, American Depository Shares, or ADSs, and convertible loan notes.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and December 31, 2024 , we had cash and cash equivalents of $4.01m and $3.72m.</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10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w:t>
            </w:r>
          </w:p>
        </w:tc>
        <w:tc>
          <w:tcPr>
            <w:tcW w:w="2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(16,939)</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use of cash in each of the years ended December 31, 2025, and 2024, which resulted primarily from our net losses, adjusted for non-cash charges and changes in components of working capital. Net cash used in operating activities of $12.9m during the year ended December 31, 2025, increased by $11.3m compared to the year ended December 31, 2024.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use of cash in each of the years ended December 31, 2024, and 2023, resulted primarily from our net losses, adjusted for non-cash charges and changes in components of working capital. Net cash used in operating activities of $1.5m during the year ended December 31, 2024 decreased by $14.2m compared to the year ended December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By/(Used in) Investing Activities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received $3.04m in net cash due to investing activities. The Company received $3.06m from the sale of Okyo shares and spent $0.02m purchasing fixed assets.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used $0.07m of cash in investing activities. The Company spent $0.05m on a share buyback scheme and $0.02m purchasing fixed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$10.06m was provided by fundraising activities. There were $0.10m net proceeds from the exercise of options and $0.05m net proceeds from the exercise of warrants. $0.20m was used in the repayment of lease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9" w:name="page90"/>
    <w:bookmarkEnd w:id="89"/>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$4.52m was provided by fundraising activities and $0.14m was used in the repayment of lease expenses. There was $0.10m consisting of net proceeds for the exercise of options.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preclinical activities, manufacturing and clinical trials of our product candidates and as we:</w:t>
      </w:r>
    </w:p>
    <w:p>
      <w:pPr>
        <w:spacing w:after="0" w:line="162"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in anticipation of commercializing any product candidates for which we may obtain marketing approval and intend to commercialize on our own or jointly;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medical and development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infrastructure and facilities to accommodate our growing employee base;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will enable us to fund our operating expenses and capital expenditure requirements for the immediate future. We have based these estimates on assumptions that may prove to be wrong, and we could utilize our available capital resources sooner than we expect. If we receive regulatory approval for our other product candidates, we expect to incur significant commercialization expenses related to product manufacturing, sales, marketing and distribution.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 candidates, we are unable to estimate the exact amount of our working capital requirements. Our future funding requirements will depend on and could increase significantly as a result of many factors, including:</w:t>
      </w:r>
    </w:p>
    <w:p>
      <w:pPr>
        <w:spacing w:after="0" w:line="176"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our preclinical development activities, clinical trials and other research and development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receipt and terms of any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marketing, manufacturing and distribution,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products, should any of our product candidates receive marketing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hiring new employees to support our continued growth;</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technologies.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Until such time, if ever, that we can generate product revenue sufficient to achieve profitability, we expect to finance our cash needs through equity offerings. To the extent that we raise additional capital through the sale of equity, your ownership interest will be diluted. If we raise additional funds through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25, 2024, we entered into an open market sale agreement (the “Sale Agreement”) with Jefferies LLC (“Jefferies”), pursuant to which we may offer and sell ordinary shares having an aggregate offering price of up to $100.0 million from time to time through Jefferies, acting as our sales agent. Sales of ordinary shares under the Sale Agreement, if any, will be made by any method deemed an "at the market offering" as defined in Rule 415 under the Securities Act. Jefferies is entitled to a commission equal to 3.0% of the aggregate gross proceeds from each sale of ordinary shares made under the Sale Agreement. The Sale Agreement replaced and terminated our prior sale agreement with B. Riley Securities, Inc. We are not obligated to sell any ordinary shares under the Sale Agreement and may suspend or terminate sales at any time upon notice to Jefferies.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under the Sale Agreement are made pursuant to our registration statement on Form F-3 (file number 333-286064), which was declared effective on March 27, 2025. During the year ended December 31, 2025, we sold an aggregate of 7,675,706 ordinary shares under the Sale Agreement for net proceeds of approximately $10.06 million, after deducting commissions payable to Jefferies.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906"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C. Research and Development Expenses, Patents and Licenses, etc.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4.B.—Intellectual Property,” “Item 4.B.—Research and Development,” and “Item 5. Operating and Financial Review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5. Operating and Financial Review and Prospects—Trend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Tabular Disclosure of Contractual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contractual commitments and obligations as of December 31,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at December 31, 2025</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Between 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More than</w:t>
            </w:r>
          </w:p>
        </w:tc>
        <w:tc>
          <w:tcPr>
            <w:tcW w:w="0" w:type="dxa"/>
            <w:vAlign w:val="bottom"/>
          </w:tcPr>
          <w:p>
            <w:pPr>
              <w:spacing w:after="0"/>
              <w:rPr>
                <w:sz w:val="1"/>
                <w:szCs w:val="1"/>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1"/>
                <w:szCs w:val="21"/>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1 Year</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5 Years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5 Years</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Diligence Obligations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2,456</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gridSpan w:val="2"/>
            <w:vMerge w:val="continue"/>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2,456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 at December 31, 2024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Between 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and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More than</w:t>
            </w:r>
          </w:p>
        </w:tc>
        <w:tc>
          <w:tcPr>
            <w:tcW w:w="0" w:type="dxa"/>
            <w:vAlign w:val="bottom"/>
          </w:tcPr>
          <w:p>
            <w:pPr>
              <w:spacing w:after="0"/>
              <w:rPr>
                <w:sz w:val="1"/>
                <w:szCs w:val="1"/>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1"/>
                <w:szCs w:val="21"/>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1 Year</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5 Years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5 Years</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“Item 4.B. Business Overview” and “Item 10.C. Material Contracts” for further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Safe Harbor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within the meaning of Section 27A of the Securities Act and Section 21E of the Exchange Act and as defined in the Private Securities Litigation Reform Act of 1995. See the section titled “Cautionary Statement Regarding Forward-Looking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as of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Gabriele Marco Antonio Cerrone (2)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Borders>
              <w:top w:val="single" w:sz="8" w:color="CCEEFF"/>
            </w:tcBorders>
            <w:shd w:val="clear" w:color="auto" w:fill="CCEEFF"/>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Ivor Elrifi</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 and Chief Executive Officer</w:t>
            </w: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Willy Simon (1,2,3)</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0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Brancaccio (1), (3)</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10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w:t>
            </w:r>
          </w:p>
        </w:tc>
      </w:tr>
    </w:tbl>
    <w:p>
      <w:pPr>
        <w:spacing w:after="0" w:line="179"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Committee member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Committee member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senior managers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Ivor Elrifi</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Keeren Shah</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Operating and Financial Officer</w:t>
            </w:r>
          </w:p>
        </w:tc>
      </w:tr>
      <w:tr>
        <w:trPr>
          <w:trHeight w:val="414"/>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Gabriele Marco Antonio Cerrone – </w:t>
            </w:r>
            <w:r>
              <w:rPr>
                <w:rFonts w:ascii="Times New Roman" w:cs="Times New Roman" w:eastAsia="Times New Roman" w:hAnsi="Times New Roman"/>
                <w:sz w:val="18"/>
                <w:szCs w:val="18"/>
                <w:b w:val="1"/>
                <w:bCs w:val="1"/>
                <w:i w:val="1"/>
                <w:iCs w:val="1"/>
                <w:color w:val="auto"/>
              </w:rPr>
              <w:t>Executive Chairman</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Gabriele Marco Antonio Cerrone, is the Founder of the Company and has been its Executive Chairman since April 2014. Mr. Cerrone has founded ten biotechnology companies in infectious diseases, ophthalmology, gastrointestinal diseases, oncology, and molecular diagnostics, and has listed seven of these companies on Nasdaq, two to the London Stock Exchange, which have resulted in 3 FDA drug product approvals. Mr. Cerrone co-founded FermaVir Pharmaceuticals, Inc. and served as Chairman of the Board until its merger in September 2007 with Inhibitex, Inc. Mr. Cerrone served as a director of Inhibitex, Inc. until its US$2.5bn sale to Bristol Myers Squibb Co in 2012. Mr. Cerrone also co-founded Cardiff Oncology, Inc., an oncology company and served as its Co-Chairman; he was a co-founder and served as Chairman of Synergy Pharmaceuticals, Inc. and was a Director and co-founder of Siga Technologies, Inc until his exit to MacAndrews &amp; Forbes. Mr. Cerrone is the Executive Chairman and Founder of OKYO Pharma Ltd, an ophthalmology focused company; Co-Founder of Rasna Therapeutics Inc., a company focused on the development of therapeutics for leukaemias; Co-Founder of Contravir Pharmaceuticals, Inc.; Executive Chairman and Co-Founder of Gensignia Life Sciences, Inc.; Non-Executive Chairman and Founder of Accustem Sciences Limited, a clinical stage diagnostics company; and founder of BioVitas Capital Ltd. Mr. Cerrone graduated Magna Cum Laude in Finance from New York University’s Stern School of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Willy Simon – </w:t>
      </w:r>
      <w:r>
        <w:rPr>
          <w:rFonts w:ascii="Times New Roman" w:cs="Times New Roman" w:eastAsia="Times New Roman" w:hAnsi="Times New Roman"/>
          <w:sz w:val="18"/>
          <w:szCs w:val="18"/>
          <w:b w:val="1"/>
          <w:bCs w:val="1"/>
          <w:i w:val="1"/>
          <w:iCs w:val="1"/>
          <w:color w:val="auto"/>
        </w:rPr>
        <w:t>Non-Executive Director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Willy Jules Simon has served as a Non-Executive Director of the Company since November 2015. He is a banker and worked at Kredietbank N.V. and Citibank London before serving as an executive member of the Board of Generale Bank NL from 1997 to 1999 and as the chief executive of Fortis Investment Management from 1999 to 2002. He acted as chairman of Bank Oyens &amp; van Eeghen from 2002 to 2004. He was chairman of AIM-traded Velox3 plc (formerly 24/7 Gaming Group Holdings plc) until 2014 and had been a director of Playlogic Entertainment Inc., a Nasdaq OTC listed company. Willy Simon has been the chairman of Bever Holdings, a company listed in Amsterdam, since 2006 and Chairman of Ducat Maritime since 2015. He is also a non-executive director of OKYO Pharma Ltd.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John Brancaccio – </w:t>
      </w:r>
      <w:r>
        <w:rPr>
          <w:rFonts w:ascii="Times New Roman" w:cs="Times New Roman" w:eastAsia="Times New Roman" w:hAnsi="Times New Roman"/>
          <w:sz w:val="18"/>
          <w:szCs w:val="18"/>
          <w:b w:val="1"/>
          <w:bCs w:val="1"/>
          <w:i w:val="1"/>
          <w:iCs w:val="1"/>
          <w:color w:val="auto"/>
        </w:rPr>
        <w:t>Non-Executive Director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John Brancaccio, a retired CPA, has served as a director of our Company since July 2020. From April 2004 until May 2017, Mr. Brancaccio was the Chief Financial Officer of Accelerated Technologies, Inc., an incubator for medical device companies. Mr. Brancaccio served as a director of Callisto Pharmaceuticals, Inc. from April 2004 until its merger with Synergy Pharmaceuticals, Inc. in January 2013 and was a director of Tamir Biotechnology, Inc. (formerly Alfacell Corporation) until 2019, as well as a director of Hepion Pharmaceuticals, Inc. from December 2013 until June 2025, Actavia Life Sciences, Inc. since September 2016, Cardiff Oncology, Inc. from December 2005 until June 2022 and Okyo Pharma Ltd since June 2020. Mr. Brancaccio served as a director of Synergy from July 2008 until April 2019.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Ivor Elrifi – </w:t>
      </w:r>
      <w:r>
        <w:rPr>
          <w:rFonts w:ascii="Times New Roman" w:cs="Times New Roman" w:eastAsia="Times New Roman" w:hAnsi="Times New Roman"/>
          <w:sz w:val="18"/>
          <w:szCs w:val="18"/>
          <w:b w:val="1"/>
          <w:bCs w:val="1"/>
          <w:i w:val="1"/>
          <w:iCs w:val="1"/>
          <w:color w:val="auto"/>
        </w:rPr>
        <w:t>Executive Director and Chief Executive Officer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Ivor Elrifi serves as our Chief Executive Officer and Executive Director. Mr Elrifi was formerly the global head of the Patent Group at Cooley since 2014 and before that the global head of Patents at Mintz Levin from 1999 – 2014. He has counseled companies in various key industries, including pharmaceutical, biotechnology, life sciences and medical device companies, research institutions, universities, hospitals and governments throughout the world, particularly in the US and Europe. Ivor has guided clients in developing and implementing intellectual property strategies and in the prosecution, licensing and enforcement of patents. He has extensive experience in advising clients on strategic transactional work and regularly counsels’ clients with respect to investments, business development and mergers and acquisitions, including acquisition transactions involving Novartis, Eli Lilly, Biogen and Astellas.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He has received various awards throughout his career, including being named an “LMG Life Sciences: Life Science Star,” and ranked nationally in Chambers USA since 2007. Elrifi earned his B.S. and Ph.D. in Biology from Queen’s University and his J.D. from Osgoode Hall Law School.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 xml:space="preserve">Keeren Shah – </w:t>
      </w:r>
      <w:r>
        <w:rPr>
          <w:rFonts w:ascii="Times New Roman" w:cs="Times New Roman" w:eastAsia="Times New Roman" w:hAnsi="Times New Roman"/>
          <w:sz w:val="18"/>
          <w:szCs w:val="18"/>
          <w:b w:val="1"/>
          <w:bCs w:val="1"/>
          <w:i w:val="1"/>
          <w:iCs w:val="1"/>
          <w:color w:val="auto"/>
        </w:rPr>
        <w:t>Chief Operating and Financial Officer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Keeren Shah serves as our Chief Financial Officer and Chief Operating Officer. Ms Shah is also the CFO of OKYO Pharma Ltd, Accustem Sciences Limited, and Actavia Life Sciences Inc. She joined the Company in 2016 as Group Financial Controller, where she played a pivotal role in strengthening financial governance and operational efficiency across multiple businesses until her promotion in 2020. Earlier in her career, she spent a decade at Visa, Inc., where she was a senior leader in the finance organization. There, she led transformative finance initiatives, contributed to the success of Visa’s landmark IPO, and oversaw critical FP&amp;A and controller functions during a period of global expansion.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Ms Shah began her career in finance with roles at Arthur Andersen and BBC Worldwide, gaining diverse industry experience and sharpening her leadership skills. She holds a BA (Hons) in Economics from the University of Manchester and is a member of the Chartered Institute of Management Accountants.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We may terminate an executive officer’s employment for cause at any time without remuneration for certain acts of the officer, such as a crime resulting in a criminal conviction, willful misconduct or gross negligence to our detriment, a material breach of the employment agreement or of our corporate and business policies and procedures, or providing services for other entities without our consent. We may also terminate an executive officer’s employment by giving six month’s notice or by paying a one-time compensation fee equal to six month’s salary in lieu of such notice under certain circumstances, such as a failure by such officer to perform agreed-upon duties or the impracticability of the performance caused by a material change of circumstances. An executive officer may terminate his or her employment at any time by giving six month’s notice or immediately if we delay in the payment of remuneration, fail to pay social security fees, or fail to provide the necessary working conditions for such officer.</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executive officer, under his or her employment agreement with us, has agreed to hold any trade secrets, proprietary information, inventions or technical secrets of our company in strict confidence during and after his or her employment. Each officer also agrees that we shall own all the intellectual property developed by such officer during his or her employment.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officer also agrees to refrain from competing with us, directly or indirectly, for two years after his or her termination of employment.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Management and Director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program is designed to reward and retain senior management and includes base salary, annual short-term cash incentive compensation, long-term equity incentive compensation, and miscellaneous employee benefits and fringe benefits (including, among others, executive medical benefits). In 2025, our compensation program for directors was comprised of an annual cash retainer and an equity grant.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aggregate amount of compensation, including the value of in-kind benefits, accrued and/or paid to our directors and senior management was $2.7m, including the value of in-kind benefits.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i w:val="1"/>
          <w:iCs w:val="1"/>
          <w:color w:val="auto"/>
        </w:rPr>
        <w:t>Gabriele Cerrone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July 1, 2025, Mr Cerrone assigned to Planwise Ltd all his rights under certain prior agreements between Mr Cerrone and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with Planwise Ltd, as successor to Mr Cerrone provides that:</w:t>
      </w:r>
    </w:p>
    <w:p>
      <w:pPr>
        <w:spacing w:after="0" w:line="207" w:lineRule="exact"/>
        <w:rPr>
          <w:sz w:val="20"/>
          <w:szCs w:val="20"/>
          <w:color w:val="auto"/>
        </w:rPr>
      </w:pPr>
    </w:p>
    <w:p>
      <w:pPr>
        <w:jc w:val="both"/>
        <w:ind w:left="980" w:hanging="324"/>
        <w:spacing w:after="0" w:line="258"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during the term of the agreement, either: (i) there is a sale, in one or a series of transactions, of all or substantially all of the assets (calculated on the basis of book values) of the Group (or a license of the same on an exclusive or non-exclusive basis), where the Enterprise Value equals or exceeds US$372,000,000; or (ii) there is either a change of control where the Enterprise Value equals or exceeds US$372,000,000, Planwise Ltd will be entitled to receive a special payment in the amount equal to the Enterprise Value multiplied by three and a half (3.5) per cent;</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during the term of the agreement, either: (i) there is a sale, in one or a series of transactions, of all or substantially all of the assets (calculated on the basis of book values) of the Group (or a license of the same on an exclusive or non-exclusive basis), where the Enterprise Value equals, or in excess of, US$1,000,000,000 that Planwise Ltd receive a special payment equal to 6.5% of the enterprise value of the Company (and not just the excess over US$1,000,0000,000); and</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during the term of the agreement, either: (i) there is a sale, in one or a series of transactions, of all or substantially all of the assets (calculated on the basis of book values) of the Group (or a license of the same on an exclusive or non-exclusive basis), where the Enterprise Value equals, or exceeds US$1,500,000,000; or (ii) there is either a Change of Control (as defined below) where the Enterprise Value equals or exceeds US$1,500,000,000, Planwise Ltd will receive a special payment equal the Enterprise Value multiplied by nine (9%) per cent (and not just the excess over US$1,500,000,000).</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Enterprise Value means: (i) in the case of a change of control resulting in consideration payable to the Group (for example, on a sale of its assets or licensing transaction), the total cash and non-cash consideration received by the Group; or (ii) in the case of a change of control resulting in consideration payable to the shareholders of the ordinary shares in the issued share capital of the Group from time to time, the total cash and non-cash consideration payable to the Shareholders.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all outstanding equity awards for our directors, executive officers, and non-executive directors,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45"/>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 ($)</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6"/>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Gabriele Cerrone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1,629,702</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06/05/2020</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05/05/2028</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Gabriele Cerrone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03/05/2024</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03/05/2034</w:t>
            </w:r>
          </w:p>
        </w:tc>
      </w:tr>
      <w:tr>
        <w:trPr>
          <w:trHeight w:val="216"/>
        </w:trPr>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Ivor Elrifi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14/08/2024</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14/08/2034</w:t>
            </w:r>
          </w:p>
        </w:tc>
      </w:tr>
      <w:tr>
        <w:trPr>
          <w:trHeight w:val="216"/>
        </w:trPr>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Keeren Shah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62,500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0.88</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06/05/2020</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06/05/2028</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Keeren Shah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187,500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0.57</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14/03/2023</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14/03/2033</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Keeren Shah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13/03/2024</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13/03/2034</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Keeren Shah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0.82</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03/10/2024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03/10/2034</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Keeren Shah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04/09/2025</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04/09/2035</w:t>
            </w:r>
          </w:p>
        </w:tc>
      </w:tr>
      <w:tr>
        <w:trPr>
          <w:trHeight w:val="216"/>
        </w:trPr>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Willy Simon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31,250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24/08/2020</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24/08/2030</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Willy Simon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0.57</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14/03/2023</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14/03/2033</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Willy Simon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13/03/2024</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13/03/2034</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Willy Simon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14/08/2024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14/08/2034</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Willy Simon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28/03/2025</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28/03/2035</w:t>
            </w:r>
          </w:p>
        </w:tc>
      </w:tr>
      <w:tr>
        <w:trPr>
          <w:trHeight w:val="216"/>
        </w:trPr>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Brancaccio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31,250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24/08/2020</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24/08/2030</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Brancaccio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0.57</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14/03/2023</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14/03/2033</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Brancaccio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13/03/2024</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13/03/2034</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Brancaccio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14/08/2024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14/08/2034</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Brancaccio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28/03/2025</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28/03/2035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Tiziana Life Sciences Ltd (formerly Tiziana Life Sciences plc) Employee Share Option Plan with Non-Employee Sub-Plan and US Sub-Plan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Tiziana Life Sciences Ltd (formerly Tiziana Life Sciences plc) Employee Share Option Plan with Non-Employee Sub-Plan and US Sub-Plan, or the 2016 Plan, was adopted by the Board on March 23, 2016 and approved by shareholders on June 30, 2016 and allows for the grant of options to eligible service providers. The material terms of the 2016 Plan are summarized below. This plan closed to new entrants on October 21, 2021 and has been superseded by the Tiziana Life Sciences Ltd 2021 Equity Incentive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 and Administration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October 21, 2021, our employees, consultants and directors, and employees and consultants of our subsidiaries were eligible to receive options under the 2016 Plan. The 2016 Plan was administered by our board of directors, which may delegate its duties and responsibilities to one or more committees of our directors and/or officers (referred to collectively as the plan administrator below), subject to the limitations imposed under the 2016 Plan, stock exchange rules and other applicable laws. The plan administrator has the authority to take all actions and make all determinations under the 2016 Plan, to interpret the 2016 Plan and option agreements and to adopt, amend and repeal rules for the administration of the 2016 Plan as it deems advisable. The plan administrator also had the authority to determine which eligible service providers receive options, to grant options and to set the terms and conditions of all options granted under the 2016 Plan, including any vesting and vesting acceleration provisions, subject to the conditions and limitations in the 2016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2016 Plan provided for the grant of options. All options granted under the 2016 Plan were set forth in option agreements, which will detail the terms and conditions of the options.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Options provide for the purchase of our ordinary shares in the future at an exercise price set on the grant date. The plan administrator will determine the number of shares covered by each option, the exercise price of each option and the conditions and limitations applicable to the exercise of each option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holder of options dies, options may be exercised by the personal representative with 12 months following death in respect of all or such proportion of the option as the plan administrator may specify to take account of the extent to which any exercise conditions have been achieved at the relevant date. If a holder of options leaves as a good leaver or the plan administrator allows, options may be exercised within 90 days in respect of all or such proportion of the option as the plan administrator may specify to take account of the extent to which any exercise conditions have been achieved at the relevant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Conditions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plan administrator may specify one or more appropriate exercise conditions that must be satisfied before options may be exercised.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5"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i w:val="1"/>
          <w:iCs w:val="1"/>
          <w:color w:val="auto"/>
        </w:rPr>
        <w:t>Change of Control and Variation of Share Capital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 change of control, the plan administrator may specify whether all or a proportion of options will be exercisable to take account of the extent to which any exercise conditions have been achieved at the relevant date. Alternatively, holders of options may agree to accept an offer to exchange options for options to acquire shares in an acquiring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there is a variation of our ordinary shares the plan administrator may adjust the number of shares under options and/or the exercise price.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Amendment and Termination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may amend the 2016 Plan at any time; however, the provisions governing eligibility requirements, equity dilution, the basis for determining the rights of holders of options and the adjustment of options cannot be altered to the advantage of existing or new holders of options without the prior approval of our shareholders in general meeting. No options may be granted under the 2016 Plan after the tenth anniversary of the date of adoption by our board of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Options granted under the 2016 Plan are generally non-transferrable, except on death. With regard to tax withholding and exercise price obligations arising in connection with the exercise of options under the 2016 Plan, the plan administrator may, in its discretion, accept cash, wire transfer or cheque,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Sub-Plan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Non-Employee Sub-Plan, options may be granted to advisers, consultants and non-executive directors on terms comparable to those described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Sub-Plan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US Sub-Plan permits the grant of options to employees, directors and consultants who are US residents and US taxpayers, including potentially tax efficient Incentive Stock Options (as defined in Section 422 of the Internal Revenue Code of 1986, as amended). A maximum of 9,233,392 ordinary shares may be issued under the US Sub-Plan (which number shall be the maximum number that may be granted as Incentive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Tiziana Life Sciences Ltd 2021 Equity Incentive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20, 2021, Tiziana adopted the Tiziana Life Sciences Ltd 2021 Equity Incentive Plan (the “Plan”) which operates over common shares in Tiziana. The purpose of the Plan is to assist the Company and its Subsidiaries in attracting and retaining valued Employees, Consultants and Non-Employee Directors by offering them a greater stake in the Company’s success and a closer identity with it, and to encourage ownership of the Company’s shares by such Employees, Consultants and Non-Employee Directors. Any employee, director or consultant of Tiziana Life Sciences Ltd or any of its subsidiaries is eligible to receive Awards under the Plan. The Plan will be administered by the Compensation Committee of the Board (the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Awards granted to nonemployee members of the Board will be administered by the full Board.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Plan was approved by the shareholders of the Company, no new awards will be granted under the Tiziana Life Sciences plc Employee Share Option Plan with Non-Employee Sub-Plan and US Sub-Plan with California Supplement, as amended and/or restated from time to time (collectively, the “Prior Equity Plan”).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adjustment as provided in the Plan, the maximum number of shares that may be issued pursuant to Awards under the Plan is 15,000,000 shares (the “</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The Cap will be increased by the number of shares corresponding (as determined by the Compensation Committee) to the securities underlying the portion of an award granted under the 2016 Plan that is cancelled, terminated or forfeited or lapses, in any case, on or after the effective date of the Plan. No more than 15,000,000 shares issued under the Plan may be issued pursuant to the exercise of incentive stock options.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Plan, awards may be in the form of options, share appreciation rights, restricted stock, restricted stock units, performance stock, performance stock units, and other share-based awards. Each Award will be evidenced by an Award agreement containing the terms and conditions applicable to such Award.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 and Variation of Share Capital</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Change in Control shall not, in and of itself, accelerate the vesting, settlement or exercisability of outstanding awards, unless otherwise specified.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Transferability of Restricted Stock shall be prohibited or restricted in the manner and to the extent prescribed in the applicable Award Agreement. Such restrictions may include, without limitation, rights of repurchase or first refusal in the Company or provisions subjecting the Restricted Stock to a continuing substantial risk of forfeiture in the hands of any transferee.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 Supplemental Plan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UK Supplemental plan shall apply to any Award granted to a Participant who is resident in the United Kingdom for tax purposes at the time the Award is granted or on the occurrence of any taxable event in respect of the Award and to any Participant who is not resident in the United Kingdom at such time(s) but who is granted the Award in respect of duties performed in the United Kingdom (a “UK Participant”).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Terms for UK Participants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Employer National Insurance Contributions Indemnity. </w:t>
      </w:r>
      <w:r>
        <w:rPr>
          <w:rFonts w:ascii="Times New Roman" w:cs="Times New Roman" w:eastAsia="Times New Roman" w:hAnsi="Times New Roman"/>
          <w:sz w:val="18"/>
          <w:szCs w:val="18"/>
          <w:color w:val="auto"/>
        </w:rPr>
        <w:t>In the case of any Award to a UK Participant in the form of Options,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Performance Stock, Performance Stock Units or Other Share-Based Award, if required by the Board, it shall be a condition of such Award that the UK Participant irrevocably agrees that the Company and/or any applicable Subsidiary may recover from the UK Participant the whole or any part of any employer National Insurance Contributions, Apprenticeship Levy or other social security contributions for which the Company and/or any applicable Subsidiary is liable to account in respect of the Award, in each case to the extent permitted by applicable law, and/or that the UK Participant shall enter into such election (using a form approved by HM Revenue &amp; Customs) as may be required for the whole or any part of such taxes to be transferred to the UK Participant.</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Date of Termination. </w:t>
      </w:r>
      <w:r>
        <w:rPr>
          <w:rFonts w:ascii="Times New Roman" w:cs="Times New Roman" w:eastAsia="Times New Roman" w:hAnsi="Times New Roman"/>
          <w:sz w:val="18"/>
          <w:szCs w:val="18"/>
          <w:color w:val="auto"/>
        </w:rPr>
        <w:t>For the purposes of the Plan (and the corresponding provisions in any Award Agreement) the termination of employment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UK Participant for Cause or as the result of the UK Participant’s resignation shall be deemed to occur on the earlier of (i) the date on which the UK Participant’s employment terminates, and (ii) the date on which the UK Participant gives or receives notice of the termination of employment.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Bankruptcy. </w:t>
      </w:r>
      <w:r>
        <w:rPr>
          <w:rFonts w:ascii="Times New Roman" w:cs="Times New Roman" w:eastAsia="Times New Roman" w:hAnsi="Times New Roman"/>
          <w:sz w:val="18"/>
          <w:szCs w:val="18"/>
          <w:color w:val="auto"/>
        </w:rPr>
        <w:t>Unless otherwise provided in an Award Agreement, the unvested portion of a Participant’s Award shall be immediately forfeited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compensation or other payment due to the Participant upon the Participant (i) being declared bankrupt, (ii) making an application for an interim order or any proposal for a voluntary arrangement within Part VIII of the Insolvency Act 1988, or (iii) proposing any form of compromise with his creditors or any class of creditors.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Tax Election. </w:t>
      </w:r>
      <w:r>
        <w:rPr>
          <w:rFonts w:ascii="Times New Roman" w:cs="Times New Roman" w:eastAsia="Times New Roman" w:hAnsi="Times New Roman"/>
          <w:sz w:val="18"/>
          <w:szCs w:val="18"/>
          <w:color w:val="auto"/>
        </w:rPr>
        <w:t>In the case of an Award to a UK Participant in the form of Options, Restricted Stock, Restricted Stock Units, Performance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Stock Units or Other Share-Based Award, unless the Board determines otherwise, it shall be a condition of the Award that the UK Participant enters into a joint tax election with his or her employer pursuant to Section 431(1) of the Income Tax (Earnings and Pensions) Act 2003 in respect of any Shares acquired pursuant to such Award, such election to be made no later than 14 days following the date on which such Shares are acquired.</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Relationship to Employment Contract. </w:t>
      </w:r>
      <w:r>
        <w:rPr>
          <w:rFonts w:ascii="Times New Roman" w:cs="Times New Roman" w:eastAsia="Times New Roman" w:hAnsi="Times New Roman"/>
          <w:sz w:val="18"/>
          <w:szCs w:val="18"/>
          <w:color w:val="auto"/>
        </w:rPr>
        <w:t>The rights of a UK Participant under the terms of his or her office or employment with the Company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shall not be affected by the Plan, this Supplement or any Award Agreement. The value of any benefit realized by a UK Participant in respect of an Award shall not be taken into account in determining any pension or similar entitlement.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Limitation on Claims</w:t>
      </w:r>
      <w:r>
        <w:rPr>
          <w:rFonts w:ascii="Times New Roman" w:cs="Times New Roman" w:eastAsia="Times New Roman" w:hAnsi="Times New Roman"/>
          <w:sz w:val="18"/>
          <w:szCs w:val="18"/>
          <w:color w:val="auto"/>
        </w:rPr>
        <w:t>. A UK Participant shall have no right to compensation or damages on account of any loss in respect of an Award where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arises (or is claimed to arise), in whole or in part, from termination of office or employment with, or notice to terminate office or employment given by or to, the Company or any Subsidiary. This exclusion of liability shall apply however termination of office or employment, or the giving of notice, is caused, and however compensation or damages are claimed. A UK Participant shall have no right to compensation or damages from the Company or any Subsidiary on account of any loss in respect of an Award where the loss arises (or is claimed to arise), in whole or in part, from any Change in Control, any company ceasing to be a Subsidiary or the transfer or any business from the Company or any Subsidiary to any other person.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Practices Regarding the Grant of Equity Awards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schedule the grant of any equity awards in anticipation of the disclosure of material, non-public information and we do not schedule the disclosure of material, non-public information based on the timing of granting equity awards. We have not adopted a formal policy that dictates the timing of equity award grants. We may choose to grant equity awards outside of the annual broad-based awards (e.g., as part of a new hire package or as a retention or promotional incentive). Stock options may be granted only with an exercise price at or above the closing market price of our common stock on the date of grant. During 2024, no stock option grants were made to any of our NEOs during any period beginning four business days before the filing or furnishing of a periodic report or current report and ending one business day after the filing or furnishing of any such report with the SEC. We believe that our Insider Trading Policy is reasonably designed to promote compliance with insider trading laws, rules and regulations, and Nasdaq listing standards. A copy of our Insider Trading Policy is filed as Exhibit 19.1 to our Annual Report on Form 20-F for the fiscal year ended December 31,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Practices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listing requirements, we may rely on home country governance requirements and certain exemptions thereunder rather than complying with NASDAQ corporate governance standards. While we voluntarily follow most Nasdaq corporate governance rules, we may choose to take advantage of the following limited exemptions:</w:t>
      </w:r>
    </w:p>
    <w:p>
      <w:pPr>
        <w:spacing w:after="0" w:line="176" w:lineRule="exact"/>
        <w:rPr>
          <w:sz w:val="20"/>
          <w:szCs w:val="20"/>
          <w:color w:val="auto"/>
        </w:rPr>
      </w:pPr>
    </w:p>
    <w:p>
      <w:pPr>
        <w:ind w:left="980" w:right="2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rules requiring insiders to file public reports of their stock ownership and trading activities and liability for insiders who profit from trades in a short period of time, which will provide less data in this regard than shareholders of U.S. companies that are subject to the Exchange Act.</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requirement requiring disclosure of any waivers of the code of business conduct and ethics for directors and officers.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have independent director oversight of director nominations.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migration to Bermuda, Tiziana adopted a Code of Business Conduct and Ethics which covers a broad range of matters including the handling of conflicts of interest, compliance issues and other corporate policies such as insider trading and equal opportunity and non-discrimination standards. Tiziana’s Code of Business Conduct and Ethics applies to all directors, executive officers and employees of Tiziana. Tiziana publishes its Code of Business Conduct and Ethics on its website (www.tizianalifesciences.com).</w:t>
      </w:r>
    </w:p>
    <w:p>
      <w:pPr>
        <w:spacing w:after="0" w:line="180" w:lineRule="exact"/>
        <w:rPr>
          <w:sz w:val="20"/>
          <w:szCs w:val="20"/>
          <w:color w:val="auto"/>
        </w:rPr>
      </w:pPr>
    </w:p>
    <w:p>
      <w:pPr>
        <w:jc w:val="both"/>
        <w:ind w:left="980" w:hanging="324"/>
        <w:spacing w:after="0" w:line="266"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follow Nasdaq Rule 5620(c) regarding quorum requirements applicable to meetings of shareholders. Such quorum requirements are not required under Bermuda law. In accordance with generally accepted business practice, our Bye-laws will provide alternative quorum requirements that are generally applicable to meetings of shareholders.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follow Nasdaq Rule 5605(b)(2), which requires that independent directors regularly meet in executive sessions where only independent directors are present. Our independent directors may choose to meet in executive sessions at their discretion.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may rely on certain home country corporate governance practices, we must comply with Nasdaq’s Notification of Noncompliance requirement (Nasdaq Rule 5625) and the Voting Rights requirement (Nasdaq Rule 5640). Further, we must have an audit committee that satisfies Nasdaq Rule 5605(c)(3), which addresses audit committee responsibilities and authority and requires that the audit committee consist of members who meet the independence requirements of Nasdaq Rule 5605(c)(2)(A)(ii).</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Nasdaq listing rules. Accordingly, our shareholders will not have the same protections afforded to shareholders of companies that are subject to all of the corporate governance requirements of Nasdaq. For an overview of our corporate governance principles, see the following section titled “Description of Bye-laws and Memorandum of Association”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Bye-laws and Memorandum of Association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description includes a summary of specified provisions of our memorandum of association and our Bye-laws. This description is qualified by reference to our memorandum of association and our Bye-laws which are incorporated by reference as exhibits to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Bye-laws do not provide shareholders with pro rata preemptive rights to subscribe for any newly issued common shares. Additionally, the Companies Act does not provide shareholders with a statutory preemptive right.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may exercise all of the powers to purchase for cancellation or acquire our shares as treasury shares in accordance with the Companies Act. On a reacquisition of shares, such shares may be cancelled (in which event, our issued but not our authorized capital will be diminished accordingly) or held as treasury shares. Such purchases may only be effected out of the capital paid up on the purchased shares or out of the funds otherwise available for dividend or distribution or out of the proceeds of a fresh issue of shares made for the purpose.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Alteration of Share Capital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if authorized by a resolution of our shareholders, increase, divide, consolidate, subdivide, change the currency denomination of, diminish or otherwise alter or reduce the share capital in any manner permitted by the Companies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at any time we have more than one class of shares, the rights attaching to any class, unless otherwise provided for by the terms of issue of the relevant class, may be varied with the sanction of a resolution passed by a majority of the votes cast at a general meeting of the relevant class of shareholders at which a quorum consisting of at least two persons holding or representing one-third of the issued shares of the relevant class is present. Our Amended and Restated Bye-laws specify that the creation or issue of shares ranking equally with existing shares will not, unless expressly provided by the terms of issue of existing shares, vary the rights attached to existing shares. In addition, the creation or issue of preference shares ranking prior to common shares will not be deemed to vary the rights attached to common shares or, subject to the terms of any other series of preference shares, to vary the rights attached to any other series of preference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may in its absolute discretion and without assigning any reason refuse to register the transfer of a share which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The board shall refuse to register a transfer unless all applicable consents, authorizations and permissions of any governmental body or agency in Bermuda have been obtained. Subject to these restrictions, a holder of common shares may transfer the title to all or any of its common shares by completing a form of transfer in the form set out in our Bye-laws (or as near thereto as circumstances admit) or in such other common form as the board may accept. The instrument of transfer must be signed by the transferor and transferee, although in the case of a fully paid share our board of directors may accept the instrument signed only by the transferor.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the Amended and Restated Bye-laws, our shares may be transferred without a written instrument if transferred by an appointed agent and in any form or manner which is in accordance with the rules or regulations of an appointed stock exchange (which includes the Nasdaq Capital Market) on which the shares are listed or admitted to trading.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annual general meeting will be held each year in accordance with the requirements of the Companies Act and our Bye-laws at such time and place as our board of directors appoints. Our board of directors or the chairman may also, whenever in its judgment it is necessary, convene general meetings other than annual general meetings which are called special general meetings. Bermuda law and the Bye-laws provide that a special general meeting must be called upon the request of shareholders holding not less than one-tenth of the paid-up capital of the Company carrying the right to vote at general meetings. Any annual general meeting and special general meeting must be called by, respectively, not less than twenty-one (21) days and five (5) days’ prior notice in writing. A notice of meeting must include the place, day and time of the meeting and, in the case of an annual general meeting, that the election of directors will take place thereat and any other business to be conducted at the meeting, and, in the case of a special general meeting, the general nature of the business to be considered at the meeting. This notice requirement is subject to the ability to hold such meetings on shorter notice if such notice is agreed: (i) in the case of an annual general meeting by all of the shareholders entitled to attend and vote at such meeting; or (ii) in the case of a special general meeting by a majority in number of the shareholders entitled to attend and vote at the meeting holding not less than 95% in nominal value of the shares entitled to vote at such meeting. A shareholder may appoint a proxy to attend and vote at the general meeting by providing notice in writing to us at our registered office or at such other place or in such manner as specified in the notice of the general meeting.</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chairman, if present, and if not, the chief executive officer, if present, and if not, the president, if present, and if not, any person appointed by our board of directors will act as chairman of the meeting. In their absence and if no one is appointed by our board of directors as chairman of such meeting, a chairman of the meeting will be appointed or elected by those present at the meeting and entitled to 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Shareholder Ability to Call Special Meetings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Bye-laws provide that (a) the president or the chairman of the Company (if any) or any two Directors or any Director and the Secretary or the Board may convene a special general meeting whenever in their judgment such a meeting is necessary and (b) the board of directors must convene a special general meeting at the request of shareholders holding not less than one-tenth of the paid-up share capital of the Company with the right to vote at general meetings.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Meeting Quorum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Bye-laws provide that at any general meeting of shareholders, At any general meeting two or more persons present throughout the meeting and representing in person or by proxy in excess of 331/3% of the total voting rights of all issued and outstanding shares in the Company shall form a quorum for the transaction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any restrictions for the time being lawfully attached to any class of shares, every shareholder who is present in person or by proxy at a general meeting shall be entitled to one vote on a show of hands and be entitled to one vote for every share of which he is a holder on a vote taken by poll, and any question proposed for the consideration of the shareholders at any general meeting shall be decided by the affirmative votes of a majority of the votes cast in accordance with the Bye-laws, and in the case of an equality of votes, the resolution will fail.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Action by Written Consent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Bye-laws provide that no action required to be taken or which may be taken at any general meeting of Members may be taken without a meeting, and the power of Members to consent in writing, without a meeting, to the taking of any action is specifically denied.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Access to Books and Records and Dissemination of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Members of the general public have a right to inspect the public documents of a company available at the office of the Registrar of Companies in Bermuda. These documents include the Company’s memorandum of association, including its objects and powers, and certain alterations to the memorandum of association. The shareholders have the additional right to inspect the bye-laws of the Company, minutes of general meetings and the Company’s audited financial statements, which must be presented to the annual general meeting. The register of members of a company is also 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thirty days in a year). A company is required to maintain its share register in Bermuda but may, subject to the provisions of the Companies Act, establish a branch register outside of Bermuda. A company is required to keep at its registered office a register of directors and officers that is open for inspection for not less than two hours in any business day by members of the public without charge. A company is also required to file with the Registrar of Companies in Bermuda a list of its directors to be maintained on a register, which register will be available for public inspection subject to such conditions as the Registrar may impose and on payment of such fee as may be prescribed. Bermuda law does not, however, provide a general right for shareholders to inspect or obtain copies of any other corporate records.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Bye-laws provide that shareholders entitled to vote for the election of directors may, at any special general meeting convened and held in accordance with the Amended and Restated Bye-laws, remove a director only with cause, by the affirmative vote of shareholders holding at least a majority of the total voting rights of all shareholders having the right to vote at such meeting, provided that the notice of any such meeting convened for the purpose of removing a director must contain a statement of the intention so to do and be served on such director not less than 14 days before the meeting and at such meeting the director will be entitled to be heard on the motion for such director’s removal.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Proceedings of Board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Bye-laws provide that our business is to be managed and conducted by our board of directors. Bermuda law permits individual and corporate directors and there is no requirement in the Bye-laws or Bermuda law that directors hold any of our shares. There is also no requirement in the Bye-laws or Bermuda law that our directors must retire at a certain age.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remuneration of our directors is determined by the board of directors from time to time at a duly authorized meeting. Our directors may also be paid all travel, hotel and other expenses properly incurred by them in connection with our business or their duties as directors.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Provided a director discloses a direct or indirect interest in any contract or arrangement or proposed contract or arrangement with us as required by Bermuda law, such director is entitled to vote in respect of any such contract or arrangement in which he or she is interested and/or be counted in the quorum for the meeting at which such contract or arrangement is to be voted 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Amalgamations, Mergers and Business Combinations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75% of the shareholders voting at such meeting is required to approve the amalgamation or merger agreement, and the quorum for such meeting must be two persons holding or representing more than one-third of the issued shares of the Company. The Amended and Restated Bye-laws provide that an amalgamation, consolidation or a merger (other than with a wholly owned subsidiary or as described below) that has been approved by the board must only be approved by a majority of the votes cast at a general meeting of the shareholders at which the quorum shall be two or more persons present in person and representing in person or by proxy in excess of 50% of all issued and outstanding common voting shares. Any other amalgamation or merger or other business combination (as defined in the Amended and Restated Bye-laws) not approved by our board must be approved by the holders of not less than 66 2/3% of all votes attaching to all shares then in issue entitling the holder to attend and vote on the resolution.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Dissenter’s Rights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Bermuda law, in the event of an amalgamation or merger of a Bermuda company with another company or corporation, including a public Bermuda company, a shareholder of the Bermuda company who did not vote in favor of the amalgamation or merger and is not satisfied that fair value has been offered for such shareholder’s shares may, within one month of notice of the shareholders meeting, apply to the Supreme Court of Bermuda to appraise the fair value of those shares. These approval rights did not apply to the Business Combination because the Company was not a party to any amalgamation or merger contemplated by the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Director Liability and Indemnification of Directors and Officers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Bye-laws provide that the directors, resident representative, secretary and other officers acting in relation to any of the affairs of the Company or any subsidiary thereof and the liquidator or trustees (if any) acting in relation to any of the affairs of the Company or any subsidiary thereof and every one of them shall be indemnified and secured harmless out of the assets of the Company from and against all actions, costs, charges, losses, damages and expenses which they or any of them shall or may incur or sustain by or by reason of any act done, concurred in or omitted in or about the execution of their duty, or supposed duty, or in their respective offices or trusts, and no indemnified party shall be answerable to the acts, receipts, neglects or defaults of the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shall not extend to any matter in respect of any fraud or dishonesty in relation to the Company which may attach to any of the indemnified parties. We may also enter into an indemnification agreement with any director or officer of the Company.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Bye-laws provide that the Company may (i) purchase and maintain insurance for the benefit of any director or officer against any liability incurred by such person under the Companies Act in his or her capacity as a director or officer of the Company or indemnifying such director or officer in respect of any loss arising or liability attaching to him or her by virtue of any rule of law in respect of any negligence, default, breach of duty or breach of trust of which the director or officer may be guilty in relation to the Company or any of its subsidiaries and (ii) advance moneys to a director or officer for the costs, charges and expenses incurred by the director or officer in defending any civil or criminal proceedings against him or her, on condition that the director or officer shall repay the advance if any allegation of fraud or dishonesty in relation to the Company is proved against him or her.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Class Actions and Derivative Suits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the affairs of a company are being conducted in a manner which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Memorandum of Association and Bye-laws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Bermuda law provides that the memorandum of association of a company may be amended by a resolution passed at a general meeting of shareholders. Our Amended and Restated Bye-laws provide that no bye-law shall be rescinded, altered or amended, and no new bye-law shall be made, unless it shall have been approved by a resolution of our board of directors and by a resolution of our shareholders.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Bermuda law, the holders of an aggregate of not less than 20% in par value of the company’s issued share capital or any class thereof have the right to apply to the Supreme Court of Bermuda for an annulment of any amendment of the memorandum of association adopted by shareholders at any general meeting, other than an amendment which alters or reduces a company’s share capital as provided in the Companies Act. Where such an application is made, the amendment becomes effective only to the extent that it is confirmed by the Bermuda court.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Profits and Reserves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our Bye-laws, our board of directors may (i) capitalize any part of the amount of our share premium or other reserve accounts or any amount credited to our profit and loss account or otherwise available for distribution by applying such sum in paying up unissued shares to be allotted as fully paid bonus shares pro-rata (except in connection with the conversion of shares) to the shareholders; or (ii) 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Bermuda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Certificates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Membership</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Companies Act, only those persons who agree to become members of a Bermuda company and whose names are entered on the register of members of such company are deemed members. A Bermuda company is not bound to see to the execution of any trust, whether express, implied or constructive, to which any of its shares are subject and whether or not the company had notice of such trust. Accordingly, persons holding shares through a trustee, nominee or depository will not be recognized as members of a Bermuda company under Bermuda law and may only have the benefit of rights attaching to the shares or remedies conferred by law on members through or with the assistance of the trustee, nominee or depository.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is currently composed of four members. Our board of directors has determined that, of our four directors, none have a relationship that would interfere with the exercise of independent judgment in carrying out the responsibilities of two of the directors, Mr. John Brancaccio and Mr. Simon, and that each of these directors is “independent” as that term is defined under Nasdaq rules.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accordance with our Articles, at the first general meeting which is held after the date of adoption of the Bye-laws for the purpose of electing Directors, the Class I Directors shall be elected for a three year term of office, the Class II Directors shall be elected for a two year term of office and the Class III Directors shall be elected for a one year term of office. At each succeeding annual general meeting, successors to the class of Directors whose term expires at that annual general meeting shall be elected for a three-year term. If the number of Directors is changed, any increase or decrease shall be apportioned among the classes so as to maintain the number of Directors in each class as nearly equal as possible, and any Director of any class elected to fill a vacancy shall hold office for a term that shall coincide with the remaining term of the other Directors of that class, but in no case shall a decrease in the number of Directors shorten the term of any Director then in office. A Director shall hold office until the annual general meeting for the year in which his term expires.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Class of the members of the Board of Directors is as follows: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Year Current</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 Current</w:t>
            </w:r>
          </w:p>
        </w:tc>
        <w:tc>
          <w:tcPr>
            <w:tcW w:w="0" w:type="dxa"/>
            <w:vAlign w:val="bottom"/>
          </w:tcPr>
          <w:p>
            <w:pPr>
              <w:spacing w:after="0"/>
              <w:rPr>
                <w:sz w:val="1"/>
                <w:szCs w:val="1"/>
                <w:color w:val="auto"/>
              </w:rPr>
            </w:pPr>
          </w:p>
        </w:tc>
      </w:tr>
      <w:tr>
        <w:trPr>
          <w:trHeight w:val="245"/>
        </w:trPr>
        <w:tc>
          <w:tcPr>
            <w:tcW w:w="7280" w:type="dxa"/>
            <w:vAlign w:val="bottom"/>
            <w:gridSpan w:val="2"/>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Term Began</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Term Expires</w:t>
            </w:r>
          </w:p>
        </w:tc>
        <w:tc>
          <w:tcPr>
            <w:tcW w:w="0" w:type="dxa"/>
            <w:vAlign w:val="bottom"/>
          </w:tcPr>
          <w:p>
            <w:pPr>
              <w:spacing w:after="0"/>
              <w:rPr>
                <w:sz w:val="1"/>
                <w:szCs w:val="1"/>
                <w:color w:val="auto"/>
              </w:rPr>
            </w:pPr>
          </w:p>
        </w:tc>
      </w:tr>
      <w:tr>
        <w:trPr>
          <w:trHeight w:val="216"/>
        </w:trPr>
        <w:tc>
          <w:tcPr>
            <w:tcW w:w="7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Gabriele Cerrone</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Brancaccio</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II</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Willy Simon</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III</w:t>
            </w:r>
          </w:p>
        </w:tc>
        <w:tc>
          <w:tcPr>
            <w:tcW w:w="11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Ivor Elrifi</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II</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has three standing committees: an audit committee, a remuneration committee and a nominating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which consists of, Mr. Brancaccio and Mr. Simon, assists the board of directors in overseeing our accounting and financial reporting processes. Mr. Brancaccio serves as chairman of the audit committee. The audit committee consists exclusively of members of our board who are financially literate, and Mr. Brancaccio is considered an “audit committee financial expert” as defined by applicable SEC rules and has the requisite financial sophistication as defined under the applicable Nasdaq rules and regulations.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has determined that all of the members of the audit committee satisfy the “independence” requirements set forth in Rule 10A-3 under the Exchange Act. The audit committee will be governed by a charter that complies with Nasdaq rules.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committee’s responsibilities include:</w:t>
      </w:r>
    </w:p>
    <w:p>
      <w:pPr>
        <w:spacing w:after="0" w:line="225"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appointment of the independent auditor to the general meeting of shareholders;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compensation, retention and oversight of any accounting firm engaged for the purpose of preparing or issuing an audit report or performing other audit services;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the audit services and non-audit services to be provided by our independent auditor before the auditor is engaged to render such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ind w:left="98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auditor’s qualifications, performance and independence, and presenting its conclusions to the full board of directors on at least an annual basis;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financial statements and our financial reporting process;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or ratifying any related party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remuneration committee consists of Mr. Brancaccio and Mr. Simon. Mr. Simon serves as chairman of the remuneration committee. Under SEC and Nasdaq rules, there are heightened independence standards for members of the remuneration committee, including a prohibition against the receipt of any compensation from us other than standard board member fees.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remuneration committee’s responsibilities include:</w:t>
      </w:r>
    </w:p>
    <w:p>
      <w:pPr>
        <w:spacing w:after="0" w:line="225" w:lineRule="exact"/>
        <w:rPr>
          <w:sz w:val="20"/>
          <w:szCs w:val="20"/>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proposing policies relevant to the compensation and benefits of our directors and executive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each executive officer’s performance in light of such policies and reporting to the board;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employee share option scheme or equity incentive plans in operation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nominating committee consists of Mr. Cerrone and Mr. Simon. Mr. Simon serves as chairman of the nominating committee. The nominating committee’s responsibilities include:</w:t>
      </w:r>
    </w:p>
    <w:p>
      <w:pPr>
        <w:spacing w:after="0" w:line="162"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drawing up selection criteria and appointment procedures for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for election to our board of directors and its corresponding committees;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functioning of individual members of our board of directors and executive officers and reporting the results of such assessment to the board of directors;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corporate governance guidelines.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our non-employee directors have any service contracts with Tiziana Life Sciences Ltd or any of our subsidiaries that provide for benefits upon termination of employment.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gridSpan w:val="5"/>
          </w:tcPr>
          <w:p>
            <w:pPr>
              <w:ind w:left="4140"/>
              <w:spacing w:after="0"/>
              <w:rPr>
                <w:sz w:val="20"/>
                <w:szCs w:val="20"/>
                <w:color w:val="auto"/>
              </w:rPr>
            </w:pPr>
            <w:r>
              <w:rPr>
                <w:rFonts w:ascii="Times New Roman" w:cs="Times New Roman" w:eastAsia="Times New Roman" w:hAnsi="Times New Roman"/>
                <w:sz w:val="18"/>
                <w:szCs w:val="18"/>
                <w:b w:val="1"/>
                <w:bCs w:val="1"/>
                <w:color w:val="auto"/>
              </w:rPr>
              <w:t>Board Diversity Matrix (As of March 10, 2026)</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Private Issuer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Pr>
          <w:p>
            <w:pPr>
              <w:spacing w:after="0"/>
              <w:rPr>
                <w:sz w:val="20"/>
                <w:szCs w:val="20"/>
                <w:color w:val="auto"/>
              </w:rPr>
            </w:pPr>
          </w:p>
        </w:tc>
      </w:tr>
      <w:tr>
        <w:trPr>
          <w:trHeight w:val="391"/>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Did Not</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Disclose</w:t>
            </w:r>
          </w:p>
        </w:tc>
      </w:tr>
      <w:tr>
        <w:trPr>
          <w:trHeight w:val="245"/>
        </w:trPr>
        <w:tc>
          <w:tcPr>
            <w:tcW w:w="5980" w:type="dxa"/>
            <w:vAlign w:val="bottom"/>
          </w:tcPr>
          <w:p>
            <w:pPr>
              <w:spacing w:after="0"/>
              <w:rPr>
                <w:sz w:val="21"/>
                <w:szCs w:val="21"/>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220" w:type="dxa"/>
            <w:vAlign w:val="bottom"/>
          </w:tcPr>
          <w:p>
            <w:pPr>
              <w:spacing w:after="0"/>
              <w:rPr>
                <w:sz w:val="21"/>
                <w:szCs w:val="21"/>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Gender</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LGBTQ+</w:t>
            </w: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10 full time employees. Three of our employees were engaged in research and development and seven employees were engaged in management, administration and finance. Six are located in England and four are located in the United States. None of our employees are members of labor unions. None of our employees are covered by a collective bargaining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and Indemnification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permitted by the Companies Act, we are empowered to indemnify our directors against any liability they incur by reason of their directorship. We maintain directors’ and officers’ insurance to insure such persons against certain liabilities. We expect to enter into a deed of indemnity with each of our directors and executive officers prior to, or as soon as practicable, following the filing of this registration statement.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such indemnification, we provide our directors and executive officers with directors’ and officers’ liability insurance.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our board of directors, executive officers, or persons controlling us pursuant to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7. Major Shareholders and Related Party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March 31, 2026 by:</w:t>
      </w:r>
    </w:p>
    <w:p>
      <w:pPr>
        <w:spacing w:after="0" w:line="225"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own beneficially 5% or more of our outstanding ordinary shares;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board of directors and each of our executive officers.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number of ordinary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March 31, 2026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of Ordinary</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Beneficially</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6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Gabriele Cerrone</w:t>
            </w:r>
            <w:r>
              <w:rPr>
                <w:rFonts w:ascii="Times New Roman" w:cs="Times New Roman" w:eastAsia="Times New Roman" w:hAnsi="Times New Roman"/>
                <w:sz w:val="29"/>
                <w:szCs w:val="29"/>
                <w:color w:val="auto"/>
                <w:vertAlign w:val="superscript"/>
              </w:rPr>
              <w:t>(1)(2)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45,154,830</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35.06</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Laura Fonda</w:t>
            </w:r>
            <w:r>
              <w:rPr>
                <w:rFonts w:ascii="Times New Roman" w:cs="Times New Roman" w:eastAsia="Times New Roman" w:hAnsi="Times New Roman"/>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6,805,556</w:t>
            </w:r>
          </w:p>
        </w:tc>
        <w:tc>
          <w:tcPr>
            <w:tcW w:w="3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Chernett Jorey </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6,476,471</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Gabriele Cerrone</w:t>
            </w:r>
            <w:r>
              <w:rPr>
                <w:rFonts w:ascii="Times New Roman" w:cs="Times New Roman" w:eastAsia="Times New Roman" w:hAnsi="Times New Roman"/>
                <w:sz w:val="29"/>
                <w:szCs w:val="29"/>
                <w:color w:val="auto"/>
                <w:vertAlign w:val="superscript"/>
              </w:rPr>
              <w:t>(1) (2)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45,154,830</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35.06</w:t>
            </w: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Willy Simon</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129,917</w:t>
            </w:r>
          </w:p>
        </w:tc>
        <w:tc>
          <w:tcPr>
            <w:tcW w:w="3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John Brancaccio</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121,667</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Ivor Elrifi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2,687,248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Keeren Shah</w:t>
            </w:r>
            <w:r>
              <w:rPr>
                <w:rFonts w:ascii="Times New Roman" w:cs="Times New Roman" w:eastAsia="Times New Roman" w:hAnsi="Times New Roman"/>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372,292</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 directors and executive officers as a group (5 persons)</w:t>
            </w:r>
            <w:r>
              <w:rPr>
                <w:rFonts w:ascii="Times New Roman" w:cs="Times New Roman" w:eastAsia="Times New Roman" w:hAnsi="Times New Roman"/>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47,352,828</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37.45</w:t>
            </w:r>
          </w:p>
        </w:tc>
      </w:tr>
    </w:tbl>
    <w:p>
      <w:pPr>
        <w:spacing w:after="0" w:line="198"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total outstanding ordinary shares.</w:t>
      </w:r>
    </w:p>
    <w:p>
      <w:pPr>
        <w:spacing w:after="0" w:line="225"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Gabriele Cerrone is the ultimate beneficial owner of ordinary shares through Planwise Group Limited and Panetta Partners Limited.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500,000 stock options which are currently exercisable or exercisable within 60 days of March 31, 2026</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121,667 stock options which are currently exercisable or exercisable within 60 days of March 31, 2026</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369,792 stock options which are currently exercisable or exercisable within 60 days of March 31, 2026</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13F filed on October 27, 2025, which reported that as at September 30, 2025, 6,805,556 common shares were beneficially owned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13F filed on December 10, 2025, which reported that as at September 30, 2025, 6,476,471 common shares were beneficially owned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1,113,126 stock options which are currently exercisable or exercisable within 60 days of March 31,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related party transactions we have entered into since January 1, 2023, with the beneficial owners of 5% or more of our ordinary shares, which are our only voting securities, and senior management and members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Indemnity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entered into deeds of indemnity with each of our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effective as of November 9, 2018, the date on which our registration statement on Form F-1 was declared effective. This policy covers, any transaction or proposed transactions between us and a related person that are material to us or the related person,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risk committee is tasked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our Executive Officers, and director agreements with our remaining board members. For further details on these agreements, see Item 6 entitled “Directors, Senior Management and Employees.”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certain related party transactions as disclosed in Note 8 and Note 23 to the Consolidated Financial Statements in Item 18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disclosed in this paragraph, there are no governmental, legal or arbitration proceedings (including any such proceedings which are pending or threatened of which the Company is aware), which may have, or have had during the 12 months prior to the date of this registration statement, a significant effect on the Company’s and/or our financial position or profitability. In addition to the proceedings set out in this section, the Company is involved in other legal proceedings and claims in the ordinary course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26 of our consolidated financial statements at the end of this Annual Report for a description of the significant changes since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ITEM 9: THE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Listing Details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shares are listed on The Nasdaq Capital Market under the symbol “TLSA.”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shares are listed on the Nasdaq Capital Market under the symbol “TLSA.”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of Association and Bye-laws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Annual Report the description of our memorandum of association and Bye-laws contained in Form 8-K filed with the SEC on October 21, 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material contracts that were entered into outside the ordinary course of business during the two years preceding the date of this Annual Report, or that were entered into prior to that period and remain in effect as of the date of this Annual Report.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Novimmune CD3 License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2014, we entered into a license and sublicense agreement with Novimmune SA (the "Novimmune CD3 Agreement"), pursuant to which we obtained a worldwide, exclusive license to certain patents and know-how relating to CD3 receptor monoclonal antibodies, including foralumab (TZLS-401), together with a sublicense to certain patent licenses from Bristol-Myers Squibb Company. We are required to pay Novimmune a royalty of a low-single-digit percentage on net sales of licensed products and services. The Novimmune CD3 Agreement continues until the later of (a) the expiration of the last claim of the licensed patents or (b) the end of any applicable market exclusivity period, and may be terminated by either party for payment or other breach, subject to applicable cure periods. The Novimmune CD3 Agreement is filed as Exhibit 4.1 to this Annual Report.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Novimmune IL-6R License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2016, we entered into a license and sublicense agreement with Novimmune SA (the “Novimmune IL-6R Agreement”), pursuant to which we obtained a worldwide, exclusive license to certain patents and know-how relating to IL-6 receptor monoclonal antibodies (TZLS-501), together with a sublicense to certain patent licenses from Bristol-Myers Squibb Company. We are required to pay Novimmune a royalty of a low-single-digit percentage on net sales of licensed products and services, or a low-double-digit percentage of any sub-license royalty revenue we receive. The Novimmune IL-6R Agreement may be terminated by either party for payment or other breach, subject to applicable cure periods, and continues until the later of (a) the expiration of the last claim of the licensed patents or (b) the end of any applicable market exclusivity period. The Novimmune IL-6R Agreement is filed as Exhibit 4.2 to this Annual Report.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Brigham and Women’s Hospital License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16, 2018, we entered into an exclusive license agreement with The Brigham and Women's Hospital, Inc. ("BWH") (the "BWH License"), pursuant to which we obtained a worldwide, exclusive license to a patent and related know-how owned by BWH for a novel formulation of foralumab for nasal administration. We are required to pay BWH an annual maintenance fee, a low-single-digit royalty on annual net sales of licensed products, and milestone payments of up to $5.4 million in the aggregate upon the achievement of specified clinical and commercial milestones. The BWH License may be terminated by either party for payment or other breach, subject to a 60-day cure period, and continues until all licensed patents have expired or been abandoned. The BWH License is filed as Exhibit 4.3 to this Annual Report.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ATM Sale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25, 2024, we entered into an open market sale agreement (the “Sale Agreement”) with Jefferies LLC (“Jefferies”), pursuant to which we may offer and sell ordinary shares having an aggregate offering price of up to $100.0 million from time to time through Jefferies as our sales agent, at a commission of 3.0% of aggregate gross proceeds. The Sale Agreement replaced our prior at-the-market sale agreement with B. Riley Securities, Inc. For a description of activity under the Sale Agreement, see “Item 5.B. — Liquidity and Capital Resources — ATM Program.” The Sale Agreement is filed as Exhibit 4.8 to this Annual Report.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above, we are not currently, and have not been in the last two years, party to any material contract, other than contracts entered into in the ordinary course of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permission of the Bermuda Monetary Authority is required, under the provisions of the Exchange Control Act 1972 of Bermuda and related regulations, for all issuances and transfers of shares (which includes our common shares) of Bermuda companies to or from a non-resident of Bermuda for exchange control purposes, other than in cases where the Bermuda Monetary Authority has granted a general permission. The Bermuda Monetary Authority, in its notice to the public dated June 1, 2005, has granted a general permission for the issue and subsequent transfer of any securities of a Bermuda company from and/or to a non-resident of Bermuda for exchange control purposes for so long as any “Equity Securities” of the company (which include our common shares) are listed on an “Appointed Stock Exchange” (which include Nasdaq). In granting the general permission the Bermuda Monetary Authority accepts no responsibility for our financial soundness or the correctness of any of the statements made or opinions expressed in this annual report.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the Company is incorporated in Bermuda, as an exempted company it is classified as a non-resident of Bermuda for exchange control purposes by the Bermuda Monetary Authority. Other than transferring Bermuda Dollars out of Bermuda, there are no restrictions on the Company’s ability to transfer funds into and out of Bermuda or to pay dividends in currency other than Bermuda Dollars to non-residents of Bermuda who are holders of our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U.S. Holders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consequences relating to the ownership and disposition of our Common shares by U.S. Holders. This discussion applies to U.S. Holders that purchase our Common shares pursuant to this offering and hold such Common shares as capital assets for tax purposes. This discussion is based on the Internal Revenue Code, U.S. Treasury regulations promulgated thereunder and administrative and judicial interpretations thereof, and the income tax treaty between the United Kingdom and the United States, or the Treaty,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dealers or traders in securities or other persons that generally mark their securities to market for U.S. federal income tax purposes, tax-exempt entities or governmental organizations, retirement plans, regulated investment companies, real estate investment trusts, grantor trusts, brokers, dealers or traders in securities, commodities, currencies or notional principal contracts, certain former citizens or long-term residents of the United States, persons who hold our Common shares as part of a “straddle,” “hedge,” “conversion transaction,” “synthetic security” or integrated investment, persons that have a “functional currency” other than the U.S. dollar, persons who are subject to the tax accounting rules of Section 451(b) of the Internal Revenue Code, persons that own directly, indirectly or through attribution 10% or more (by vote or value) of our equity, corporations that accumulate earnings to avoid U.S. federal income tax, partnerships and other pass-through entities, and investors in such pass-through entities). This discussion does not address any U.S. state or local or non-U.S. tax consequences or any U.S. federal estate, gift or alternative minimum tax consequences.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discussion, the term “U.S. Holder” means a beneficial owner of our Common shares that is, for U.S. federal income tax purposes,</w:t>
      </w:r>
    </w:p>
    <w:p>
      <w:pPr>
        <w:spacing w:after="0" w:line="27" w:lineRule="exact"/>
        <w:rPr>
          <w:sz w:val="20"/>
          <w:szCs w:val="20"/>
          <w:color w:val="auto"/>
        </w:rPr>
      </w:pPr>
    </w:p>
    <w:p>
      <w:pPr>
        <w:jc w:val="both"/>
        <w:ind w:firstLine="8"/>
        <w:spacing w:after="0" w:line="253" w:lineRule="auto"/>
        <w:tabs>
          <w:tab w:leader="none" w:pos="25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(2) a corporation (or entity treated as a corporation for U.S. federal income tax purposes)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our Common shares, the U.S. federal income tax consequences relating to an investment in such Common shares will depend upon the status and activities of such entity and the particular partner. Any such entity and a partner in any such entity should consult its own tax advisor regarding the U.S. federal income tax consequences applicable to it (and, as applicable, its partners) of the purchase, ownership and disposition of our Common shares.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sought, nor will we seek, a ruling from the IRS with respect to the matters discussed below. There can be no assurance that the IRS will not take a different position concerning the tax consequences of the purchase, ownership or disposition of the Common shares or that any such position would not be sustained. Persons considering an investment in our Common shares should consult their own tax advisors as to the particular tax consequences applicable to them relating to the purchase, ownership and disposition of our Common shares, including the applicability of U.S. federal, state and local tax laws and non-U.S. tax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general, a corporation organized outside the United States will be treated as a PFIC for any taxable year in which either (1) at least 75% of its gross income is “passive income,” or the PFIC income test, or (2) on average at least 50% of its assets, determined on a quarterly basis, are assets that produce passive income or are held for the production of passive income, or the PFIC asset test. Passive income for this purpose generally includes, among other things, dividends, interest, royalties, rents, and gains from the sale or exchange of property that give rise to passive income. Assets that produce or are held for the production of passive income generally include cash, even if held as working capital or raised in a public offering, marketable securities, and other assets that may produce passive income. Generally, in determining whether a non-U.S. corporation is a PFIC, a proportionate share of the income and assets of each corporation in which it owns, directly or indirectly, at least a 25% interest (by value) is taken into account.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690" w:gutter="0" w:footer="0" w:header="0"/>
        </w:sectPr>
      </w:pPr>
    </w:p>
    <w:bookmarkStart w:id="111" w:name="page112"/>
    <w:bookmarkEnd w:id="11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PFIC status is determined on an annual basis and generally cannot be determined until the end of the taxable year, based on the nature of our current and expected income and the current and expected value and composition of our assets, we do not believe we were a PFIC for our 2025 tax year and we do not expect to be a PFIC for our current taxable year. There can be no assurance that we will not be a PFIC in future taxable years. Even if we determine that we are not a PFIC for a taxable year, there can be no assurance that the IRS will agree with our conclusion and that the IRS would not successfully challenge our position. Because of the uncertainties involved in establishing our PFIC status, our U.S. counsel expresses no opinion regarding our PFIC status, and also expresses no opinion with respect to our predictions or past determinations regarding our PFIC status.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a PFIC in any taxable year during which a U.S. Holder owns our Common shares, the U.S. Holder could be liable for additional taxes and interest charges under the “PFIC excess distribution regime” upon (1) a distribution paid during a taxable year that is greater than 125% of the average annual distributions paid in the three preceding taxable years, or, if shorter, the U.S. Holder’s holding period for our Common shares, and (2) any gain recognized on a sale, exchange or other disposition, including, under certain circumstances, a pledge, of our Common shares, whether or not we continue to be a PFIC. Under the PFIC excess distribution regime, the tax on such distribution or gain would be determined by allocating the distribution or gain ratably over the U.S. Holder’s holding period for our Common shares. The amount allocated to the current taxable year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to ordinary income for each such taxable year, and an interest charge, generally applicable to underpayments of tax, will be added to the tax.</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our Common shares, we must generally continue to be treated as a PFIC by that U.S. Holder for all succeeding years during which the U.S. Holder holds such Common shares, unless we cease to meet the requirements for PFIC status and the U.S. Holder makes a “deemed sale” election with respect to our Common shares. If the election is made, the U.S. Holder will be deemed to sell our Common shares it holds at their fair market value on the last day of the last taxable year in which we qualified as a PFIC, and any gain recognized from such deemed sale would be taxed under the PFIC excess distribution regime. After the deemed sale election, the U.S. Holder’s Common shares would not be treated as shares of a PFIC unless we subsequently become a PFIC.</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Common shares and one of our non-United States subsidiaries is also a PFIC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lower-tier PFIC), such U.S. Holder would be treated as owning a proportionate amount (by value) of the shares of the lower-tier PFIC and would be taxed under the PFIC excess distribution regime on distributions by the lower-tier PFIC and on gain from the disposition of shares of the lower-tier PFIC even though such U.S. Holder would not receive the proceeds of those distributions or dispositions. Any of our non-United States subsidiaries that have elected to be disregarded as entities separate from us or as partnerships for U.S. federal income tax purposes would not be corporations under U.S. federal income tax law and accordingly, cannot be classified as lower-tier PFICs. However, a non-United States subsidiary that has not made the election may be classified as a lower-tier PFIC if we are a PFIC during your holding period and the subsidiary meets the PFIC income test or PFIC asset test.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a PFIC, a U.S. Holder will not be subject to tax under the PFIC excess distribution regime on distributions or gain recognized on our Common shares if a valid “mark-to-market” election is made by the U.S. Holder for our Common shares. An electing U.S. Holder generally would take into account as ordinary income each year, the excess of the fair market value of our Common shares held at the end of such taxable year over the adjusted tax basis of such Common shares. The U.S. Holder would also take into account, as an ordinary loss each year, the excess of the adjusted tax basis of such Common shares over their fair market value at the end of the taxable year, but only to the extent of the excess of amounts previously included in income over ordinary losses deducted as a result of the mark-to-market election. The U.S. Holder’s tax basis in our Common shares would be adjusted annually to reflect any income or loss recognized as a result of the mark-to-market election. Any gain from a sale, exchange or other disposition of our Common shares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If, after having been a PFIC for a taxable year, we cease to be classified as a PFIC because we no longer meet the PFIC income or PFIC asset test, the U.S. Holder would not be required to take into account any latent gain or loss in the manner described above and any gain or loss recognized on the sale or exchange of the Common shares would be classified as a capital gain or loss.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mark-to-market election is available to a U.S. Holder only for “marketable stock.” Generally, stock will be considered marketable stock if it is “regularly traded” on a “qualified exchange” within the meaning of applicable U.S. Treasury regulations. A class of stock is regularly traded during any calendar year during which such class of stock is traded, other than in de minimis quantities, on at least 15 days during each calendar quarter.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Common shares will be marketable stock as long as they remain listed on Nasdaq and are regularly traded. A mark-to-market election will not apply to the Common shares for any taxable year during which we are not a PFIC, but will remain in effect with respect to any subsequent taxable year in which we become a PFIC. Such election will not apply to any of our non-U.S. subsidiaries. Accordingly, a U.S. Holder may continue to be subject to tax under the PFIC excess distribution regime with respect to any lower-tier PFICs notwithstanding the U.S. Holder’s mark-to-market election for our Common shares.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tax consequences that would apply if we are a PFIC would also be different from those described above if a U.S. Holder were able to make a valid QEF election. As we do not expect to provide U.S. Holders with the information necessary for a U.S. Holder to make a QEF election, prospective investors should assume that a QEF election will not be available.</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U.S. federal income tax rules relating to PFICs are very complex. Prospective U.S. investors are strongly urged to consult their own tax advisors with respect to the impact of PFIC status on the purchase, ownership and disposition of our </w:t>
      </w: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18"/>
          <w:szCs w:val="18"/>
          <w:b w:val="1"/>
          <w:bCs w:val="1"/>
          <w:color w:val="auto"/>
        </w:rPr>
        <w:t xml:space="preserve">, the consequences to them of an investment in a PFIC, any elections available with respect to the </w:t>
      </w: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18"/>
          <w:szCs w:val="18"/>
          <w:b w:val="1"/>
          <w:bCs w:val="1"/>
          <w:color w:val="auto"/>
        </w:rPr>
        <w:t xml:space="preserve"> and the IRS information reporting obligations with respect to the purchase, ownership and disposition of </w:t>
      </w: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18"/>
          <w:szCs w:val="18"/>
          <w:b w:val="1"/>
          <w:bCs w:val="1"/>
          <w:color w:val="auto"/>
        </w:rPr>
        <w:t xml:space="preserve"> of a PFIC.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discussion above under “— Passive Foreign Investment Company Rules,” a U.S. Holder that receives a distribution with respect to our Common shares generally will be required to include the gross amount of such distribution in gross income as a dividend when actually or constructively received by the U.S. Holder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Common shares. To the extent the distribution exceeds the adjusted tax basis of the U.S. Holder’s Common shares, the remainder will be taxed as capital gain. Because we may not account for our earnings and profits in accordance with U.S. federal income tax principles, U.S. Holders should expect all distributions to be reported to them as dividends. The amount of a dividend will include any amounts withheld by the Company in respect of United Kingdom taxes.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Distributions on our Common shares that are treated as dividends generally will constitute income from sources outside the United States for foreign tax credit purposes and generally will constitute passive category income. Subject to applicable limitations, some of which vary depending upon the U.S. Holder’s particular circumstances, any United Kingdom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United Kingdom income tax, in computing their taxable income, subject to generally applicable limitations under U.S. law. An election to deduct foreign taxes instead of claiming foreign tax credits applies to all foreign taxes paid or accrued in the taxable year. The amount of any dividend income paid in a currency other than the U.S. dollar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amount. A U.S. Holder may have foreign currency gain or loss if the dividend is converted into U.S. dollars after the date of receipt.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Distributions paid on our Common shares will not be eligible for the “dividends received” deduction generally allowed to corporate shareholders with respect to dividends received from U.S. corporations under the Internal Revenue Code. Dividends paid by a “qualified foreign corporation’’ to non-corporate U.S. Holders are eligible for taxation at a reduced capital gains rate rather than the marginal tax rates generally applicable to ordinary income provided that a holding period requirement (more than 60 days of ownership, without protection from the risk of loss, during the 121-day period beginning 60 days before the ex-dividend date) and certain other requirements are met. Each U.S. Holder is advised to consult its tax advisors regarding the availability of the reduced tax rate on dividends to its particular circumstances. However, if we are a PFIC for the taxable year in which the dividend is paid or the preceding taxable year (see discussion above under “— Passive Foreign Investment Company Rules’’), we will not be treated as a qualified foreign corporation, and therefore the reduced capital gains tax rate described above will not apply.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non-United States corporation (other than a corporation that is classified as a PFIC for the taxable year in which the dividend is paid or the preceding taxable year) generally will be considered to be a qualified foreign corporation with respect to any dividend it pays on Common shares that are readily tradable on an established securities market in the United States.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 of any dividend income that is paid in Pounds Sterling will be the U.S. dollar amount calculated by reference to the exchange rate in effect on the date of receipt, regardless of whether the payment is in fact converted into U.S. dollars. If the dividend is converted into U.S. dollars on the date of receipt (actual or constructive), a U.S. Holder should not be required to recognize foreign currency gain or loss in respect of the dividend income. A U.S. Holder may have foreign currency gain or loss if the dividend is converted into U.S. dollars after the date of receipt (actual or constructive).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Sale, Exchange or Other Taxable Disposition of Our </w:t>
      </w:r>
      <w:r>
        <w:rPr>
          <w:rFonts w:ascii="Times New Roman" w:cs="Times New Roman" w:eastAsia="Times New Roman" w:hAnsi="Times New Roman"/>
          <w:sz w:val="18"/>
          <w:szCs w:val="18"/>
          <w:color w:val="auto"/>
        </w:rPr>
        <w:t>Common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discussion above under “— Passive Foreign Investment Company Rules,” a U.S. Holder generally will recognize capital gain or loss for U.S. federal income tax purposes upon the sale, exchange or other disposition of our Common shares in an amount equal to the difference, if any, between the amount realized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amount of cash plus the fair market value of any property received) on the sale, exchange or other disposition and such U.S. Holder’s adjusted tax basis in the Common shares. Such capital gain or loss generally will be long-term capital gain taxable at a reduced rate for non-corporate U.S. Holders or long-term capital loss if, on the date of sale, exchange or other disposition, the Common shares were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our Common shares will generally be gain or loss from sources within the United States for U.S. foreign tax credit purposes.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Medicare Tax</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and whose income exceeds certain thresholds generally are subject to a 3.8% tax on all or a portion of their net investment income, which may include their gross dividend income and net gains from the disposition of our Common shares. If you are a U.S. Holder that is an individual, estate or trust, you are encouraged to consult your tax advisors regarding the applicability of this Medicare tax to your income and gains in respect of your investment in our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U.S. Holders may be required to file certain U.S. information reporting returns with the IRS with respect to an investment in our Common shares, including, among others, IRS Form 8938 (Statement of Specified Foreign Financial Assets). In addition, each U.S. Holder who is a shareholder of a PFIC must file an annual report containing certain information. U.S. Holders paying more than $100,000 for our Common shares may be required to file IRS Form 926 (Return by a U.S. Transferor of Property to a Foreign Corporation) reporting this payment. Substantial penalties and other adverse circumstances may be imposed upon a U.S. Holder that fails to comply with the required information reporting.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8"/>
          <w:szCs w:val="18"/>
          <w:color w:val="auto"/>
        </w:rPr>
        <w:t>Dividends on and proceeds from the sale or other disposition of our Common shares generally have to be reported to the IRS unless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establishes a basis for exemption. Backup withholding may apply to amounts subject to reporting if the holder (1) fails to provide an accurate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or otherwise establish a basis for exemption, or (2) is described in certain other categories of persons. However,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that are corporations generally are excluded from these information reporting and backup withholding tax rules.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 Holders should consult their own tax advisors regarding the backup withholding tax and information reporting rules.</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PROSPECTIVE INVESTOR IS URGED TO CONSULT ITS OWN TAX ADVISOR ABOUT THE TAX CONSEQUENCES TO IT OF AN INVESTMENT IN OUR COMMON SHARES IN LIGHT OF THE INVESTOR’S OWN CIRCUMSTANCES. IN ADDITION, SIGNIFICANT CHANGES IN U.S. FEDERAL INCOME TAX LAWS WERE RECENTLY ENACTED. PROSPECTIVE INVESTORS SHOULD ALSO CONSULT WITH THEIR TAX ADVISORS WITH RESPECT TO SUCH CHANGES IN U.S. TAX LAW AS WELL AS POTENTIAL CONFORMING CHANGES IN STATE TAX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Bermuda Tax Considerations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present Bermuda law, no Bermuda withholding tax on dividends or other distributions, or any Bermuda tax computed on profits or income or on any capital asset, gain or appreciation will be payable by us or applicable to our operations, and there is no Bermuda tax in the nature of estate duty or inheritance tax applicable to our shares, debentures or other obligations held by non-residents of Bermuda.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Assurance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31,2035, be applicable to us or to any of our operations or to our shares, debentures or other obligations except insofar as such tax applies to persons ordinarily resident in Bermuda or is payable by us in respect of real property owned or leased by us in Bermuda.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Shareholders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Shareholders should seek advice from their tax advisor to determine the taxation to which they may be subject based on the shareholder’s circumstances.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center"/>
        <w:ind w:right="8800"/>
        <w:spacing w:after="0"/>
        <w:rPr>
          <w:sz w:val="20"/>
          <w:szCs w:val="20"/>
          <w:color w:val="auto"/>
        </w:rPr>
      </w:pPr>
      <w:r>
        <w:rPr>
          <w:rFonts w:ascii="Times New Roman" w:cs="Times New Roman" w:eastAsia="Times New Roman" w:hAnsi="Times New Roman"/>
          <w:sz w:val="17"/>
          <w:szCs w:val="17"/>
          <w:b w:val="1"/>
          <w:bCs w:val="1"/>
          <w:color w:val="auto"/>
        </w:rPr>
        <w:t>F. Dividends and Paying Agents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Statements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Accordingly, we are required to file reports and other information with the SEC, including annual reports on Form 20-F and reports on Form 6-K. You may inspect and copy reports and other information filed with the SEC at the public reference facilities of the SEC located at 100 F Street, N.E., Washington, D.C. 20549. You may also obtain copies of the documents at prescribed rates by writing to the Public Reference Section of the SEC at 100 F Street, N.E., Washington, DC 20549. Please call the SEC at 1-800-SEC-0330 for further information on the public reference room. The SEC also maintains a website at http://www.sec.gov from which certain filings may be accessed.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make available on our website, free of charge, our Annual Report and the text of our reports on Form 6-K, including any amendments to these reports, as well as certain other SEC filings, as soon as reasonably practicable after they are electronically filed with or furnished to the SEC. Our website address is “www.tizianalifesciences.com.” The information contained on our website is not incorporated by reference in this Annual Report.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Members of the general public have a right to inspect the public documents of a company available at the office of the Registrar of Companies in Bermuda. These documents include the company’s memorandum of association, including its objects and powers, and certain alterations to the memorandum of association. The shareholders have the additional right to inspect the bye-laws of the company, minutes of general meetings and the company’s audited financial statements, which must be presented to the annual general meeting. The register of members of a company is also 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thirty days in a year). A company is required to maintain its share register in Bermuda but may, subject to the provisions of the Companies Act, establish a branch register outside of Bermuda. A company is required to keep at its registered office a register of directors and officers that is open for inspection for not less than two hours in any business day by members of the public without charge. A company is also required to file with the Registrar of Companies in Bermuda a list of its directors to be maintained on a register, which register will be available for public inspection subject to such conditions as the Registrar may impose and on payment of such fee as may be prescribed. Bermuda law does not, however, provide a general right for shareholders to inspect or obtain copies of any other corporate records.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information on our subsidiaries, see “Item 4C. Organizational Structure.”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which are principally limited to interest rate fluctuations and foreign currency exchange rate fluctuations. We maintain significant amounts of cash and cash equivalents that are in excess of federally insured limits in various currencies, placed with one or more financial institutions for varying periods according to expected liquidity requirements.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exposure to interest rate sensitivity is impacted by changes in the underlying U.S. and U.K. bank interest rates. Our surplus cash and cash equivalents have been invested in interest-bearing savings and money market accounts from time to time.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fair market value of our portfolio, and therefore we do not expect our operating results or cash flows to be significantly affected by changes in market interest rates.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our consolidated financial statements in the functional currency US Dollar. Monetary assets and liabilities denominated in currencies other than the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the determination of net income (loss) for the respective periods.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currencies of our subsidiaries are generally their functional currencies, In translating the financial statements of those subsidiaries or branches whose functional currency is other than the U.S. dollar, assets and liabilities are converted into U.S. dollars using the rates of exchange in effect at the balance sheet dates, and revenues and expenses are converted using the average foreign exchange rates for the period. Translation adjustments are not included in determining net income (loss) but are included in foreign exchange adjustment to accumulate other comprehensive loss, a component of shareholders’ equity.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currently engage in currency hedging activities in order to reduce our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Warrants and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w:t>
      </w:r>
      <w:r>
        <w:rPr>
          <w:rFonts w:ascii="Times New Roman" w:cs="Times New Roman" w:eastAsia="Times New Roman" w:hAnsi="Times New Roman"/>
          <w:sz w:val="18"/>
          <w:szCs w:val="18"/>
          <w:color w:val="auto"/>
        </w:rPr>
        <w:t>IC</w:t>
      </w:r>
      <w:r>
        <w:rPr>
          <w:rFonts w:ascii="Times New Roman" w:cs="Times New Roman" w:eastAsia="Times New Roman" w:hAnsi="Times New Roman"/>
          <w:sz w:val="18"/>
          <w:szCs w:val="18"/>
          <w:b w:val="1"/>
          <w:bCs w:val="1"/>
          <w:color w:val="auto"/>
        </w:rPr>
        <w:t>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Operating and Finance Officer, have evaluated the effectiveness of the Company’s disclosure controls and procedures (as defined in Rules 13a-15(e) and 15d-15(e) under the Securities Exchange Act of 1934, as amended (the “Exchange Act”)) as of December 31, 2025. Based on that evaluation, the Company’s Chief Executive Officer and the Company’s Chief Operating and Finance Officer have concluded that as of December 31, 2025, there were no material weaknesses in the Company’s internal control over financial reporting described below, the Company’s disclosure controls and procedures were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controls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International Financial Reporting Standards (IFRS) as issued by the International Accounting Standards Board (IASB), and IFRIC interpretations as applicable to companies reporting under IFRS.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their inherent limitations, internal controls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the Company’s Chief Executive Officer and the Company’s Chief Operating and Finance Officer, the Company conducted an evaluation of the effectiveness of its internal control over financial over financial reporting based on the framework described in Internal Control-Integrated Framework issued by the Commission of Sponsoring Organizations of the Treadway Commission, as revised in 2013. Based on that evaluation, management has concluded that the Company did maintain effective internal control over financial reporting as of the period ended December 31, 2025 and no material weaknesses were identified.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quarter ended December 31, 2025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are Mr John Brancaccio and Mr. Willy Simon. Mr. John Brancaccio is the chair of the audit committee. Each of our audit committee members satisfies the independence requirements of Rule 5605(a)(2) of the Nasdaq Stock Market Marketplace Rules and the independence requirements of Rule 10A-3(b)(1) under the Exchange Act. Our board of directors has determined that Mr. John Brancaccio is an “audit committee financial expert” as defined in Item 16A of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Code of Business Conduct and Ethics is applicable to all of our employees, officers and directors and is available on our website at https://www.tizianalifesciences.com. Our Code of Business Conduct and Ethics provides that our directors and officers are expected to avoid any action, position or interest that conflicts with the interests of our company or gives the appearance of a conflict. Our directors and officers have an obligation under our Code of Business Conduct and Ethics to advance our company’s interests when the opportunity to do so arises. We expect that any amendment to this code, or any waivers of its requirements, will be disclosed on our website. Information contained on, or that can be accessed through, our website is not incorporated by reference into this Annual Report, and you should not consider information on our website to be part of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each of the years indicated, the aggregate fees billed to us for services rendered by PKF and Mazars, our independent registered public accounting firm.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70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w w:val="97"/>
              </w:rPr>
              <w:t>Year Ending</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PKF Littlejohn LLP</w:t>
            </w:r>
          </w:p>
        </w:tc>
        <w:tc>
          <w:tcPr>
            <w:tcW w:w="5040" w:type="dxa"/>
            <w:vAlign w:val="bottom"/>
          </w:tcPr>
          <w:p>
            <w:pPr>
              <w:spacing w:after="0"/>
              <w:rPr>
                <w:sz w:val="21"/>
                <w:szCs w:val="21"/>
                <w:color w:val="auto"/>
              </w:rPr>
            </w:pPr>
          </w:p>
        </w:tc>
        <w:tc>
          <w:tcPr>
            <w:tcW w:w="256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36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46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6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assurance services</w:t>
            </w:r>
          </w:p>
        </w:tc>
        <w:tc>
          <w:tcPr>
            <w:tcW w:w="50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3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vMerge w:val="continue"/>
            <w:shd w:val="clear" w:color="auto" w:fill="CCEEFF"/>
          </w:tcPr>
          <w:p>
            <w:pPr>
              <w:spacing w:after="0"/>
              <w:rPr>
                <w:sz w:val="21"/>
                <w:szCs w:val="21"/>
                <w:color w:val="auto"/>
              </w:rPr>
            </w:pPr>
          </w:p>
        </w:tc>
        <w:tc>
          <w:tcPr>
            <w:tcW w:w="50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160</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160</w:t>
            </w:r>
          </w:p>
        </w:tc>
        <w:tc>
          <w:tcPr>
            <w:tcW w:w="0" w:type="dxa"/>
            <w:vAlign w:val="bottom"/>
          </w:tcPr>
          <w:p>
            <w:pPr>
              <w:spacing w:after="0"/>
              <w:rPr>
                <w:sz w:val="1"/>
                <w:szCs w:val="1"/>
                <w:color w:val="auto"/>
              </w:rPr>
            </w:pPr>
          </w:p>
        </w:tc>
      </w:tr>
      <w:tr>
        <w:trPr>
          <w:trHeight w:val="21"/>
        </w:trPr>
        <w:tc>
          <w:tcPr>
            <w:tcW w:w="36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36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70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w w:val="97"/>
              </w:rPr>
              <w:t>Year Ending</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Mazars LLP</w:t>
            </w:r>
          </w:p>
        </w:tc>
        <w:tc>
          <w:tcPr>
            <w:tcW w:w="5040" w:type="dxa"/>
            <w:vAlign w:val="bottom"/>
          </w:tcPr>
          <w:p>
            <w:pPr>
              <w:spacing w:after="0"/>
              <w:rPr>
                <w:sz w:val="21"/>
                <w:szCs w:val="21"/>
                <w:color w:val="auto"/>
              </w:rPr>
            </w:pPr>
          </w:p>
        </w:tc>
        <w:tc>
          <w:tcPr>
            <w:tcW w:w="256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36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46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6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assurance services</w:t>
            </w:r>
          </w:p>
        </w:tc>
        <w:tc>
          <w:tcPr>
            <w:tcW w:w="50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3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vMerge w:val="continue"/>
            <w:shd w:val="clear" w:color="auto" w:fill="CCEEFF"/>
          </w:tcPr>
          <w:p>
            <w:pPr>
              <w:spacing w:after="0"/>
              <w:rPr>
                <w:sz w:val="21"/>
                <w:szCs w:val="21"/>
                <w:color w:val="auto"/>
              </w:rPr>
            </w:pPr>
          </w:p>
        </w:tc>
        <w:tc>
          <w:tcPr>
            <w:tcW w:w="50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bottom w:val="single" w:sz="8" w:color="CCEEFF"/>
            </w:tcBorders>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113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2025, we did not repurchase any of our ordinary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The home country practices followed by our company in lieu of Nasdaq rules are described below:</w:t>
      </w:r>
    </w:p>
    <w:p>
      <w:pPr>
        <w:spacing w:after="0" w:line="180" w:lineRule="exact"/>
        <w:rPr>
          <w:sz w:val="20"/>
          <w:szCs w:val="20"/>
          <w:color w:val="auto"/>
        </w:rPr>
      </w:pPr>
    </w:p>
    <w:p>
      <w:pPr>
        <w:jc w:val="both"/>
        <w:ind w:left="980" w:hanging="324"/>
        <w:spacing w:after="0" w:line="266"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follow Nasdaq’s quorum requirements applicable to meetings of shareholders. Such quorum requirements are not required under Bermuda law. In accordance with generally accepted business practice, our Bye-laws provide alternative quorum requirements that are generally applicable to meetings of shareholders.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follow Nasdaq’s requirements that non-management directors meet on a regular basis without management present. Our board of directors may choose to meet in executive session at their discretion.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follow Nasdaq’s requirements to seek shareholder approval for the implementation of certain equity compensation plans, the issuances of ordinary shares under such plans, or in connection with certain private placements of equity securities. In accordance with Bermuda law, we are not required to seek shareholder approval to allot ordinary shares in connection with applicable employee equity compensation plans. We will follow Bermuda. law with respect to any requirement to obtain shareholder approval prior to any private placements of equity securities.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of 2002, the rules adopted by the SEC and Nasdaq’s listing standards.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we are a foreign private issuer, our directors and senior management are not subject to short-swing profit and insider trading reporting obligations under Section 16 of the U.S. Securities Exchange Act of 1934, as amended, or Exchange Act. They are, however, subject to the obligations to report changes in share ownership under Section 13 of the Exchange Act and related SEC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senior management and employees to promote compliance with applicable insider trading laws, rules and regulations. These insider trading policies and procedures are filed as Exhibit 11.1 to this annual report on Form 20-F.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cybersecurity is critical to advancing our technological advancements. As a biopharmaceutical company, we face a multitude of cybersecurity threats that range from attacks common to most industries, such as ransomware and denial-of service. Our customers, suppliers, subcontractors, and business partners face similar cybersecurity threats, and a cybersecurity incident impacting us or any of these entities could materially adversely affect our operations, performance, and results of operations. These cybersecurity threats and related risks make it imperative that we expend resources on cybersecurity.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oversees management’s processes for identifying and mitigating risks, including cybersecurity risks, to help align our risk exposure with our strategic objectives. Senior leadership, including our cybersecurity consultant, regularly briefs the Board of Directors on our cybersecurity and information security posture and the Board of Directors is apprised of cybersecurity incidents deemed to have a moderate or higher business impact, even if immaterial to us. The full Board retains oversight of cybersecurity because of its importance. In the event of an incident, we intend to follow our detailed incident response playbook, which outlines the steps to be followed from incident detection to mitigation, recovery, and notification, including notifying functional areas (e.g., legal), as well as senior leadership and the Board, as appropriate. Our Cybersecurity consultant has extensive information technology and program management experience. We have implemented a governance structure and processes to assess, identify, manage, and report cybersecurity risks.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biopharmaceutical company, we must comply with extensive regulations, including requirements imposed by the Federal Drug Administration related to adequately safeguarding patient information and reporting cybersecurity incidents to the SEC. We work with our cybersecurity consultant on assessing cybersecurity risk and on policies and practices aimed at mitigating these risks. We believe we are positioned to meet the requirements of the SEC. In addition to following SEC guidance and implementing pre-existing third party frameworks, we have developed our own practices and frameworks, which we believe enhance our ability to identify and manage cybersecurity risks. Third parties also play a role in our cybersecurity. We engage third-party services to conduct evaluations of our security controls, whether through penetration testing, independent audits, or consulting on best practices to address new challenges. Assessing, identifying, and managing cybersecurity related risks are factored into our overall business approach.</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rely heavily on our supply chain to deliver our products and services, and a cybersecurity incident at a supplier, subcontractor or business partner could materially adversely impact us. We require that our subcontractors report cybersecurity incidents to us so that we can assess the impact of the incident on us. Notwithstanding the extensive approach we take to cybersecurity, we may not be successful in preventing or mitigating a cybersecurity incident that could have a material adverse effect on us. While we maintain cybersecurity insurance, the costs related to cybersecurity threats or disruptions may not be fully insured. See “Risk Factors” for a discussion of cybersecurity risks.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furnish financial statements and related information specified in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Financial Statements beginning on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gridSpan w:val="8"/>
          </w:tcPr>
          <w:p>
            <w:pPr>
              <w:ind w:left="1180"/>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Memorandum of Association of Tiziana Life Sciences Ltd, adopted as of October 20, 2021 (incorporated by reference to Exhibit 3.1 to</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Form 8-K12B filed on October 21, 2021).</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Amended and restated bye-laws of Tiziana Life Sciences Ltd, adopted as of October 20, 2021 (incorporated by reference to Exhibit 3.2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Form 8-K12B filed on October 21,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17"/>
                <w:szCs w:val="17"/>
                <w:color w:val="auto"/>
              </w:rPr>
            </w:pPr>
          </w:p>
        </w:tc>
        <w:tc>
          <w:tcPr>
            <w:tcW w:w="754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Description of Securities (incorporated by reference to Exhibit 1.1 to Form 20-F filed on May 10, 2024).</w:t>
              </w:r>
            </w:hyperlink>
          </w:p>
        </w:tc>
        <w:tc>
          <w:tcPr>
            <w:tcW w:w="2560" w:type="dxa"/>
            <w:vAlign w:val="bottom"/>
            <w:tcBorders>
              <w:bottom w:val="single" w:sz="8" w:color="CCEEFF"/>
            </w:tcBorders>
            <w:gridSpan w:val="6"/>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License and Sublicence Agreement relating to CD3 (NI-0401) between Novimmune SA and Tiziana Life Sciences PLC, dated December</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2014. incorporated by reference to Exhibit 10.2 to Amendment No. 1 to Form F-1 filed on August 23, 2018).</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License and Sublicence Agreement relating to IL-6r (NI-1201) between Novimmune SA and Tiziana Life Sciences PLC, dated December</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2016. (incorporated by reference to Exhibit 10.3 to Amendment No. 1 to Form F-1 filed on August 23, 2018).</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9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Annual Lease for 14-15 Conduit Street, London W1S 2XJ United Kingdom (incorporated by reference to Exhibit 4.5 to Form 20-F filed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April 26,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Tiziana Life Sciences plc Employee Share Option Plan, with Non-Employee Sub-Plan and US Sub-Plan, adopted by the Board on 23 March</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2016 and approved by shareholders on June 30, 2016. (Incorporated by reference to Exhibit 4.7 to Form 20-F filed on April 4, 2019).</w:t>
              </w:r>
            </w:hyperlink>
          </w:p>
        </w:tc>
        <w:tc>
          <w:tcPr>
            <w:tcW w:w="500" w:type="dxa"/>
            <w:vAlign w:val="bottom"/>
            <w:tcBorders>
              <w:bottom w:val="single" w:sz="8" w:color="CCEEFF"/>
            </w:tcBorders>
            <w:gridSpan w:val="3"/>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Amended and Restated Service Agreement dated July 11, 2019, between the Registrant and Dr. Kunwar Shailubhai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reference to Exhibit 10.9 to Amendment No. 2 to Form F-1 filed on September 20, 2019)</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Form of Deed of Indemnity for board members. (Incorporated by reference to Exhibit 10.10 to Amendment No. 1 to Form F-1 filed on</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August 23, 2018).</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5"/>
                <w:szCs w:val="15"/>
                <w:color w:val="auto"/>
              </w:rPr>
            </w:pPr>
          </w:p>
        </w:tc>
        <w:tc>
          <w:tcPr>
            <w:tcW w:w="10100" w:type="dxa"/>
            <w:vAlign w:val="bottom"/>
            <w:gridSpan w:val="16"/>
          </w:tcPr>
          <w:p>
            <w:pPr>
              <w:spacing w:after="0" w:line="17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Tiziana Life Sciences Ltd 2021 Equity Incentive Plan (incorporated by reference to Exhibit 10.3 to Form 8-K12B filed on October 21,</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2021).</w:t>
              </w:r>
            </w:hyperlink>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9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5"/>
                <w:szCs w:val="15"/>
                <w:color w:val="auto"/>
              </w:rPr>
            </w:pPr>
          </w:p>
        </w:tc>
        <w:tc>
          <w:tcPr>
            <w:tcW w:w="10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List of Subsidiaries.</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5"/>
                <w:szCs w:val="15"/>
                <w:color w:val="auto"/>
              </w:rPr>
            </w:pPr>
          </w:p>
        </w:tc>
        <w:tc>
          <w:tcPr>
            <w:tcW w:w="10100" w:type="dxa"/>
            <w:vAlign w:val="bottom"/>
            <w:gridSpan w:val="16"/>
          </w:tcPr>
          <w:p>
            <w:pPr>
              <w:spacing w:after="0" w:line="17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Insider Trading Policy (Previously filed with the SEC as exhibits to the Registrant’s Annual Report on Form 20-F filed on May 6,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the Principal Executive Officer pursuant to Securities Exchange Act Rules 13a-14(a) and 15d-14(a) as adopted pursuant to</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60" w:type="dxa"/>
            <w:vAlign w:val="bottom"/>
            <w:tcBorders>
              <w:bottom w:val="single" w:sz="8" w:color="0000EE"/>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6640" w:type="dxa"/>
            <w:vAlign w:val="bottom"/>
            <w:tcBorders>
              <w:bottom w:val="single" w:sz="8" w:color="CCEEFF"/>
            </w:tcBorders>
            <w:gridSpan w:val="8"/>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5"/>
                <w:szCs w:val="15"/>
                <w:color w:val="auto"/>
              </w:rPr>
            </w:pPr>
          </w:p>
        </w:tc>
        <w:tc>
          <w:tcPr>
            <w:tcW w:w="101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the Principal Financial Officer pursuant to Securities Exchange Act Rules 13a-14(a) and 15d-14(a) as adopted pursuant to</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5"/>
                <w:szCs w:val="15"/>
                <w:color w:val="auto"/>
              </w:rPr>
            </w:pPr>
          </w:p>
        </w:tc>
        <w:tc>
          <w:tcPr>
            <w:tcW w:w="10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the Principal Executive Officer pursuant to 18 U.S.C. Section 1350, as adopted pursuant to Section 906 of the Sarbanes-</w:t>
            </w:r>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0000EE"/>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w:t>
            </w:r>
          </w:p>
        </w:tc>
        <w:tc>
          <w:tcPr>
            <w:tcW w:w="8680" w:type="dxa"/>
            <w:vAlign w:val="bottom"/>
            <w:tcBorders>
              <w:top w:val="single" w:sz="8" w:color="0000EE"/>
              <w:bottom w:val="single" w:sz="8" w:color="CCEEFF"/>
            </w:tcBorders>
            <w:gridSpan w:val="11"/>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the Principal Financial Officer pursuant to 18 U.S.C. Section 1350, as adopted pursuant to Section 906 of the Sarbanes-</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5"/>
                <w:szCs w:val="15"/>
                <w:color w:val="auto"/>
              </w:rPr>
            </w:pPr>
          </w:p>
        </w:tc>
        <w:tc>
          <w:tcPr>
            <w:tcW w:w="10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PKF Littlejohn.</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5"/>
                <w:szCs w:val="15"/>
                <w:color w:val="auto"/>
              </w:rPr>
            </w:pPr>
          </w:p>
        </w:tc>
        <w:tc>
          <w:tcPr>
            <w:tcW w:w="986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Insider Trading Policy (Previously filed with the SEC as exhibits to the Registrant’s Annual Report on Form 20-F filed on May 6, 2025)</w:t>
              </w:r>
            </w:hyperlink>
          </w:p>
        </w:tc>
        <w:tc>
          <w:tcPr>
            <w:tcW w:w="240" w:type="dxa"/>
            <w:vAlign w:val="bottom"/>
            <w:gridSpan w:val="2"/>
          </w:tcPr>
          <w:p>
            <w:pPr>
              <w:spacing w:after="0"/>
              <w:rPr>
                <w:sz w:val="15"/>
                <w:szCs w:val="15"/>
                <w:color w:val="auto"/>
              </w:rPr>
            </w:pPr>
          </w:p>
        </w:tc>
      </w:tr>
    </w:tbl>
    <w:p>
      <w:pPr>
        <w:spacing w:after="0" w:line="9" w:lineRule="exact"/>
        <w:rPr>
          <w:sz w:val="20"/>
          <w:szCs w:val="20"/>
          <w:color w:val="auto"/>
        </w:rPr>
      </w:pPr>
    </w:p>
    <w:p>
      <w:pPr>
        <w:ind w:left="1140" w:hanging="1132"/>
        <w:spacing w:after="0"/>
        <w:tabs>
          <w:tab w:leader="none" w:pos="1140" w:val="left"/>
        </w:tabs>
        <w:numPr>
          <w:ilvl w:val="0"/>
          <w:numId w:val="71"/>
        </w:numPr>
        <w:rPr>
          <w:rFonts w:ascii="Times New Roman" w:cs="Times New Roman" w:eastAsia="Times New Roman" w:hAnsi="Times New Roman"/>
          <w:sz w:val="18"/>
          <w:szCs w:val="18"/>
          <w:u w:val="single" w:color="auto"/>
          <w:color w:val="0000EE"/>
        </w:rPr>
      </w:pPr>
      <w:hyperlink r:id="rId195">
        <w:r>
          <w:rPr>
            <w:rFonts w:ascii="Times New Roman" w:cs="Times New Roman" w:eastAsia="Times New Roman" w:hAnsi="Times New Roman"/>
            <w:sz w:val="18"/>
            <w:szCs w:val="18"/>
            <w:u w:val="single" w:color="auto"/>
            <w:color w:val="0000EE"/>
          </w:rPr>
          <w:t>Clawback policy (Incorporated by reference to Exhibit 97.1 to Form 20-F filed on May 10,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3520" w:firstLine="8"/>
        <w:spacing w:after="0" w:line="511" w:lineRule="auto"/>
        <w:tabs>
          <w:tab w:leader="none" w:pos="113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registration statement on its behalf.</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iziana</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ife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ciences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td</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Ivor Elrifi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Ivor Elrifi</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Date: May 1,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580" w:type="dxa"/>
            <w:vAlign w:val="bottom"/>
            <w:gridSpan w:val="4"/>
          </w:tcPr>
          <w:p>
            <w:pPr>
              <w:jc w:val="center"/>
              <w:ind w:right="1660"/>
              <w:spacing w:after="0"/>
              <w:rPr>
                <w:sz w:val="20"/>
                <w:szCs w:val="20"/>
                <w:color w:val="auto"/>
              </w:rPr>
            </w:pPr>
            <w:r>
              <w:rPr>
                <w:rFonts w:ascii="Times New Roman" w:cs="Times New Roman" w:eastAsia="Times New Roman" w:hAnsi="Times New Roman"/>
                <w:sz w:val="18"/>
                <w:szCs w:val="18"/>
                <w:color w:val="auto"/>
                <w:w w:val="98"/>
              </w:rPr>
              <w:t>INDEX TO CONSOLIDATED FINANCIAL STATEMENTS</w:t>
            </w:r>
          </w:p>
        </w:tc>
        <w:tc>
          <w:tcPr>
            <w:tcW w:w="15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18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TIZIANA LIFE SCIENCES LTD</w:t>
            </w:r>
          </w:p>
        </w:tc>
        <w:tc>
          <w:tcPr>
            <w:tcW w:w="150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96"/>
        </w:trPr>
        <w:tc>
          <w:tcPr>
            <w:tcW w:w="87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(PKF Littlejohn, London, United Kingdom, PCAOB ID 2814)</w:t>
            </w:r>
          </w:p>
        </w:tc>
        <w:tc>
          <w:tcPr>
            <w:tcW w:w="9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ind w:left="98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176"/>
        </w:trPr>
        <w:tc>
          <w:tcPr>
            <w:tcW w:w="97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1500" w:type="dxa"/>
            <w:vAlign w:val="bottom"/>
          </w:tcPr>
          <w:p>
            <w:pPr>
              <w:ind w:left="98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97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1500" w:type="dxa"/>
            <w:vAlign w:val="bottom"/>
            <w:shd w:val="clear" w:color="auto" w:fill="CCEEFF"/>
          </w:tcPr>
          <w:p>
            <w:pPr>
              <w:ind w:left="98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175"/>
        </w:trPr>
        <w:tc>
          <w:tcPr>
            <w:tcW w:w="46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w:t>
            </w:r>
          </w:p>
        </w:tc>
        <w:tc>
          <w:tcPr>
            <w:tcW w:w="5060" w:type="dxa"/>
            <w:vAlign w:val="bottom"/>
            <w:tcBorders>
              <w:top w:val="single" w:sz="8" w:color="CCEEFF"/>
            </w:tcBorders>
            <w:gridSpan w:val="2"/>
          </w:tcPr>
          <w:p>
            <w:pPr>
              <w:spacing w:after="0"/>
              <w:rPr>
                <w:sz w:val="15"/>
                <w:szCs w:val="15"/>
                <w:color w:val="auto"/>
              </w:rPr>
            </w:pPr>
          </w:p>
        </w:tc>
        <w:tc>
          <w:tcPr>
            <w:tcW w:w="1500" w:type="dxa"/>
            <w:vAlign w:val="bottom"/>
            <w:tcBorders>
              <w:top w:val="single" w:sz="8" w:color="CCEEFF"/>
            </w:tcBorders>
          </w:tcPr>
          <w:p>
            <w:pPr>
              <w:ind w:left="98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860" w:type="dxa"/>
            <w:vAlign w:val="bottom"/>
            <w:tcBorders>
              <w:bottom w:val="single" w:sz="8" w:color="CCEEFF"/>
            </w:tcBorders>
            <w:gridSpan w:val="5"/>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ind w:left="98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176"/>
        </w:trPr>
        <w:tc>
          <w:tcPr>
            <w:tcW w:w="316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580" w:type="dxa"/>
            <w:vAlign w:val="bottom"/>
            <w:gridSpan w:val="4"/>
          </w:tcPr>
          <w:p>
            <w:pPr>
              <w:spacing w:after="0"/>
              <w:rPr>
                <w:sz w:val="15"/>
                <w:szCs w:val="15"/>
                <w:color w:val="auto"/>
              </w:rPr>
            </w:pPr>
          </w:p>
        </w:tc>
        <w:tc>
          <w:tcPr>
            <w:tcW w:w="1500" w:type="dxa"/>
            <w:vAlign w:val="bottom"/>
          </w:tcPr>
          <w:p>
            <w:pPr>
              <w:ind w:left="980"/>
              <w:spacing w:after="0" w:line="176" w:lineRule="exact"/>
              <w:rPr>
                <w:sz w:val="20"/>
                <w:szCs w:val="20"/>
                <w:color w:val="auto"/>
              </w:rPr>
            </w:pPr>
            <w:r>
              <w:rPr>
                <w:rFonts w:ascii="Times New Roman" w:cs="Times New Roman" w:eastAsia="Times New Roman" w:hAnsi="Times New Roman"/>
                <w:sz w:val="18"/>
                <w:szCs w:val="18"/>
                <w:color w:val="auto"/>
              </w:rPr>
              <w:t>F-8</w:t>
            </w: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Consolidated Financial Statements and Notes to Financial Statements to be provided under separate cover.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ind w:left="2800"/>
        <w:spacing w:after="0"/>
        <w:rPr>
          <w:sz w:val="20"/>
          <w:szCs w:val="20"/>
          <w:color w:val="auto"/>
        </w:rPr>
      </w:pPr>
      <w:r>
        <w:rPr>
          <w:rFonts w:ascii="Times New Roman" w:cs="Times New Roman" w:eastAsia="Times New Roman" w:hAnsi="Times New Roman"/>
          <w:sz w:val="18"/>
          <w:szCs w:val="18"/>
          <w:i w:val="1"/>
          <w:i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Stockholders of Tiziana Life Sciences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Tiziana Life Sciences Ltd and its subsidiaries (the “Group”) as of December 31, 2025 and 2024 and the related Consolidated Statements of Operations and Comprehensive Loss, Consolidated Statements of Cash Flows and Consolidated Statements of Shareholders’ Equity for each of the three years ended December 31, 2025 and the related notes (collectively referred to as the “consolidated financial statements”). In our opinion, the consolidated financial statements referred to above present fairly, in all material respects, the financial position of the Group as of December 31, 2025 and 2024 and the consolidated results of its operations and its cash flows for each of the three years ended December 31, 2025 in conformity with International Financial Reporting Standards as issued by the International Accounting Standards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Group will continue as a going concern. As discussed in note 2 to the consolidated financial statements, the Group are pre-revenue, and its business model requires significant ongoing expenditure on research and development. Management’s plans regarding these matters are also described in note 2. The forecast prepared by management indicates that the current cash held will be utilised during H2 2026 without additional financing facilities in place. Management is currently pursuing a number of alternatives in order to raise sufficient funds, including arranging short-term and long-term funding. These conditions raise substantial doubt about the Group’s ability to continue as a going concern. The consolidated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Group’s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Group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especially challenging, subjective, or complex auditor judgement.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determined that there are no critical audit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Group’s auditor since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PKF Littlejohn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PKF Littlejohn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England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2814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6"/>
        </w:trPr>
        <w:tc>
          <w:tcPr>
            <w:tcW w:w="7660" w:type="dxa"/>
            <w:vAlign w:val="bottom"/>
          </w:tcPr>
          <w:p>
            <w:pPr>
              <w:jc w:val="center"/>
              <w:ind w:left="3490"/>
              <w:spacing w:after="0"/>
              <w:rPr>
                <w:sz w:val="20"/>
                <w:szCs w:val="20"/>
                <w:color w:val="auto"/>
              </w:rPr>
            </w:pPr>
            <w:r>
              <w:rPr>
                <w:rFonts w:ascii="Times New Roman" w:cs="Times New Roman" w:eastAsia="Times New Roman" w:hAnsi="Times New Roman"/>
                <w:sz w:val="18"/>
                <w:szCs w:val="18"/>
                <w:i w:val="1"/>
                <w:iCs w:val="1"/>
                <w:color w:val="auto"/>
                <w:w w:val="99"/>
              </w:rPr>
              <w:t>TIZIANA LIFE SCIENCES LTD</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660" w:type="dxa"/>
            <w:vAlign w:val="bottom"/>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60" w:type="dxa"/>
            <w:vAlign w:val="bottom"/>
          </w:tcPr>
          <w:p>
            <w:pPr>
              <w:jc w:val="center"/>
              <w:ind w:left="3490"/>
              <w:spacing w:after="0"/>
              <w:rPr>
                <w:sz w:val="20"/>
                <w:szCs w:val="20"/>
                <w:color w:val="auto"/>
              </w:rPr>
            </w:pPr>
            <w:r>
              <w:rPr>
                <w:rFonts w:ascii="Times New Roman" w:cs="Times New Roman" w:eastAsia="Times New Roman" w:hAnsi="Times New Roman"/>
                <w:sz w:val="18"/>
                <w:szCs w:val="18"/>
                <w:color w:val="auto"/>
              </w:rPr>
              <w:t>(In thousands)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5"/>
        </w:trPr>
        <w:tc>
          <w:tcPr>
            <w:tcW w:w="7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19"/>
                <w:szCs w:val="19"/>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60" w:type="dxa"/>
            <w:vAlign w:val="bottom"/>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76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3,724</w:t>
            </w:r>
          </w:p>
        </w:tc>
        <w:tc>
          <w:tcPr>
            <w:tcW w:w="0" w:type="dxa"/>
            <w:vAlign w:val="bottom"/>
          </w:tcPr>
          <w:p>
            <w:pPr>
              <w:spacing w:after="0"/>
              <w:rPr>
                <w:sz w:val="1"/>
                <w:szCs w:val="1"/>
                <w:color w:val="auto"/>
              </w:rPr>
            </w:pPr>
          </w:p>
        </w:tc>
      </w:tr>
      <w:tr>
        <w:trPr>
          <w:trHeight w:val="216"/>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Taxation receivable</w:t>
            </w:r>
          </w:p>
        </w:tc>
        <w:tc>
          <w:tcPr>
            <w:tcW w:w="1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3,607</w:t>
            </w:r>
          </w:p>
        </w:tc>
        <w:tc>
          <w:tcPr>
            <w:tcW w:w="0" w:type="dxa"/>
            <w:vAlign w:val="bottom"/>
          </w:tcPr>
          <w:p>
            <w:pPr>
              <w:spacing w:after="0"/>
              <w:rPr>
                <w:sz w:val="1"/>
                <w:szCs w:val="1"/>
                <w:color w:val="auto"/>
              </w:rPr>
            </w:pPr>
          </w:p>
        </w:tc>
      </w:tr>
      <w:tr>
        <w:trPr>
          <w:trHeight w:val="216"/>
        </w:trPr>
        <w:tc>
          <w:tcPr>
            <w:tcW w:w="76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Non – Current Assets: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 of use asset</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 related party</w:t>
            </w:r>
          </w:p>
        </w:tc>
        <w:tc>
          <w:tcPr>
            <w:tcW w:w="1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3,589</w:t>
            </w:r>
          </w:p>
        </w:tc>
        <w:tc>
          <w:tcPr>
            <w:tcW w:w="0" w:type="dxa"/>
            <w:vAlign w:val="bottom"/>
          </w:tcPr>
          <w:p>
            <w:pPr>
              <w:spacing w:after="0"/>
              <w:rPr>
                <w:sz w:val="1"/>
                <w:szCs w:val="1"/>
                <w:color w:val="auto"/>
              </w:rPr>
            </w:pPr>
          </w:p>
        </w:tc>
      </w:tr>
      <w:tr>
        <w:trPr>
          <w:trHeight w:val="203"/>
        </w:trPr>
        <w:tc>
          <w:tcPr>
            <w:tcW w:w="766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non-current assets</w:t>
            </w:r>
          </w:p>
        </w:tc>
        <w:tc>
          <w:tcPr>
            <w:tcW w:w="10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2,943</w:t>
            </w:r>
          </w:p>
        </w:tc>
        <w:tc>
          <w:tcPr>
            <w:tcW w:w="2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3,776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11,495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11,284</w:t>
            </w:r>
          </w:p>
        </w:tc>
        <w:tc>
          <w:tcPr>
            <w:tcW w:w="0" w:type="dxa"/>
            <w:vAlign w:val="bottom"/>
          </w:tcPr>
          <w:p>
            <w:pPr>
              <w:spacing w:after="0"/>
              <w:rPr>
                <w:sz w:val="1"/>
                <w:szCs w:val="1"/>
                <w:color w:val="auto"/>
              </w:rPr>
            </w:pPr>
          </w:p>
        </w:tc>
      </w:tr>
      <w:tr>
        <w:trPr>
          <w:trHeight w:val="34"/>
        </w:trPr>
        <w:tc>
          <w:tcPr>
            <w:tcW w:w="76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10,460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w:t>
            </w:r>
          </w:p>
        </w:tc>
        <w:tc>
          <w:tcPr>
            <w:tcW w:w="1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3"/>
        </w:trPr>
        <w:tc>
          <w:tcPr>
            <w:tcW w:w="766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0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11,209</w:t>
            </w:r>
          </w:p>
        </w:tc>
        <w:tc>
          <w:tcPr>
            <w:tcW w:w="2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7,348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11,443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Called up share capital (120,507,401 shares are issued and outstanding; 2024:111,462,617)</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 premium</w:t>
            </w:r>
          </w:p>
        </w:tc>
        <w:tc>
          <w:tcPr>
            <w:tcW w:w="1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34,663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23,105</w:t>
            </w:r>
          </w:p>
        </w:tc>
        <w:tc>
          <w:tcPr>
            <w:tcW w:w="0" w:type="dxa"/>
            <w:vAlign w:val="bottom"/>
          </w:tcPr>
          <w:p>
            <w:pPr>
              <w:spacing w:after="0"/>
              <w:rPr>
                <w:sz w:val="1"/>
                <w:szCs w:val="1"/>
                <w:color w:val="auto"/>
              </w:rPr>
            </w:pPr>
          </w:p>
        </w:tc>
      </w:tr>
      <w:tr>
        <w:trPr>
          <w:trHeight w:val="216"/>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based payment reserve – Options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7,626</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 based payment reserve – warrants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Merger relief reserve</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118,697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118,697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RSU reserve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reserve</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(1,796)</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23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(163,109)</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(144,831)</w:t>
            </w: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0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3,936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i w:val="1"/>
          <w:iCs w:val="1"/>
          <w:color w:val="auto"/>
        </w:rPr>
        <w:t>TIZIANA LIFE SCIENCES LTD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loss per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(8,113)</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(10,853)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(10,565)</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(9,871)</w:t>
            </w:r>
          </w:p>
        </w:tc>
      </w:tr>
      <w:tr>
        <w:trPr>
          <w:trHeight w:val="216"/>
        </w:trPr>
        <w:tc>
          <w:tcPr>
            <w:tcW w:w="6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(21,132)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(15,794)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(17,984)</w:t>
            </w:r>
          </w:p>
        </w:tc>
      </w:tr>
      <w:tr>
        <w:trPr>
          <w:trHeight w:val="216"/>
        </w:trPr>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(21,132)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(15,794)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(17,984)</w:t>
            </w:r>
          </w:p>
        </w:tc>
      </w:tr>
      <w:tr>
        <w:trPr>
          <w:trHeight w:val="216"/>
        </w:trPr>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Other income/(expense):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w:t>
            </w: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FV Gain/(Loss) on Investment</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w:t>
            </w:r>
          </w:p>
        </w:tc>
      </w:tr>
      <w:tr>
        <w:trPr>
          <w:trHeight w:val="237"/>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Gain/on sale of Investment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income/(expense)</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(18,431</w:t>
            </w:r>
            <w:r>
              <w:rPr>
                <w:rFonts w:ascii="Times New Roman" w:cs="Times New Roman" w:eastAsia="Times New Roman" w:hAnsi="Times New Roman"/>
                <w:sz w:val="29"/>
                <w:szCs w:val="29"/>
                <w:color w:val="auto"/>
                <w:vertAlign w:val="superscript"/>
              </w:rPr>
              <w:t>)</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(16,746</w:t>
            </w:r>
            <w:r>
              <w:rPr>
                <w:rFonts w:ascii="Times New Roman" w:cs="Times New Roman" w:eastAsia="Times New Roman" w:hAnsi="Times New Roman"/>
                <w:sz w:val="29"/>
                <w:szCs w:val="29"/>
                <w:color w:val="auto"/>
                <w:vertAlign w:val="superscript"/>
              </w:rPr>
              <w:t>)</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(17,242</w:t>
            </w:r>
            <w:r>
              <w:rPr>
                <w:rFonts w:ascii="Times New Roman" w:cs="Times New Roman" w:eastAsia="Times New Roman" w:hAnsi="Times New Roman"/>
                <w:sz w:val="29"/>
                <w:szCs w:val="29"/>
                <w:color w:val="auto"/>
                <w:vertAlign w:val="superscript"/>
              </w:rPr>
              <w:t>)</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credit/(expense)</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4,883</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5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(18,431</w:t>
            </w:r>
            <w:r>
              <w:rPr>
                <w:rFonts w:ascii="Times New Roman" w:cs="Times New Roman" w:eastAsia="Times New Roman" w:hAnsi="Times New Roman"/>
                <w:sz w:val="29"/>
                <w:szCs w:val="29"/>
                <w:color w:val="auto"/>
                <w:vertAlign w:val="superscript"/>
              </w:rPr>
              <w:t>)</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(11,863</w:t>
            </w:r>
            <w:r>
              <w:rPr>
                <w:rFonts w:ascii="Times New Roman" w:cs="Times New Roman" w:eastAsia="Times New Roman" w:hAnsi="Times New Roman"/>
                <w:sz w:val="29"/>
                <w:szCs w:val="29"/>
                <w:color w:val="auto"/>
                <w:vertAlign w:val="superscript"/>
              </w:rPr>
              <w:t>)</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(17,691</w:t>
            </w:r>
            <w:r>
              <w:rPr>
                <w:rFonts w:ascii="Times New Roman" w:cs="Times New Roman" w:eastAsia="Times New Roman" w:hAnsi="Times New Roman"/>
                <w:sz w:val="29"/>
                <w:szCs w:val="29"/>
                <w:color w:val="auto"/>
                <w:vertAlign w:val="superscript"/>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Gain/(Loss) on currency translation</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(18,519</w:t>
            </w:r>
            <w:r>
              <w:rPr>
                <w:rFonts w:ascii="Times New Roman" w:cs="Times New Roman" w:eastAsia="Times New Roman" w:hAnsi="Times New Roman"/>
                <w:sz w:val="29"/>
                <w:szCs w:val="29"/>
                <w:color w:val="auto"/>
                <w:vertAlign w:val="superscript"/>
              </w:rPr>
              <w:t>)</w:t>
            </w:r>
          </w:p>
        </w:tc>
        <w:tc>
          <w:tcPr>
            <w:tcW w:w="240" w:type="dxa"/>
            <w:vAlign w:val="bottom"/>
          </w:tcPr>
          <w:p>
            <w:pPr>
              <w:spacing w:after="0"/>
              <w:rPr>
                <w:sz w:val="24"/>
                <w:szCs w:val="24"/>
                <w:color w:val="auto"/>
              </w:rPr>
            </w:pPr>
          </w:p>
        </w:tc>
        <w:tc>
          <w:tcPr>
            <w:tcW w:w="108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(11,935</w:t>
            </w:r>
            <w:r>
              <w:rPr>
                <w:rFonts w:ascii="Times New Roman" w:cs="Times New Roman" w:eastAsia="Times New Roman" w:hAnsi="Times New Roman"/>
                <w:sz w:val="29"/>
                <w:szCs w:val="29"/>
                <w:color w:val="auto"/>
                <w:vertAlign w:val="superscript"/>
              </w:rPr>
              <w:t>)</w:t>
            </w:r>
          </w:p>
        </w:tc>
        <w:tc>
          <w:tcPr>
            <w:tcW w:w="280" w:type="dxa"/>
            <w:vAlign w:val="bottom"/>
          </w:tcPr>
          <w:p>
            <w:pPr>
              <w:spacing w:after="0"/>
              <w:rPr>
                <w:sz w:val="24"/>
                <w:szCs w:val="24"/>
                <w:color w:val="auto"/>
              </w:rPr>
            </w:pPr>
          </w:p>
        </w:tc>
        <w:tc>
          <w:tcPr>
            <w:tcW w:w="940" w:type="dxa"/>
            <w:vAlign w:val="bottom"/>
            <w:gridSpan w:val="2"/>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(16,199</w:t>
            </w:r>
            <w:r>
              <w:rPr>
                <w:rFonts w:ascii="Times New Roman" w:cs="Times New Roman" w:eastAsia="Times New Roman" w:hAnsi="Times New Roman"/>
                <w:sz w:val="29"/>
                <w:szCs w:val="29"/>
                <w:color w:val="auto"/>
                <w:vertAlign w:val="superscript"/>
              </w:rPr>
              <w:t>)</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loss per share attributable to common shareholders</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6"/>
        </w:trPr>
        <w:tc>
          <w:tcPr>
            <w:tcW w:w="2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i w:val="1"/>
                <w:iCs w:val="1"/>
                <w:color w:val="auto"/>
                <w:w w:val="99"/>
              </w:rPr>
              <w:t>TIZIANA LIFE SCIENCES LTD</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3"/>
        </w:trPr>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60" w:type="dxa"/>
            <w:vAlign w:val="bottom"/>
            <w:gridSpan w:val="1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Shareholders’ Equity</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rPr>
              <w:t>(In thousands)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9"/>
        </w:trPr>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0" w:type="dxa"/>
            <w:vAlign w:val="bottom"/>
          </w:tcPr>
          <w:p>
            <w:pPr>
              <w:spacing w:after="0"/>
              <w:rPr>
                <w:sz w:val="24"/>
                <w:szCs w:val="24"/>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2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40" w:type="dxa"/>
            <w:vAlign w:val="bottom"/>
          </w:tcPr>
          <w:p>
            <w:pPr>
              <w:spacing w:after="0"/>
              <w:rPr>
                <w:sz w:val="18"/>
                <w:szCs w:val="18"/>
                <w:color w:val="auto"/>
              </w:rPr>
            </w:pPr>
          </w:p>
        </w:tc>
        <w:tc>
          <w:tcPr>
            <w:tcW w:w="8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Merger</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RSU</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2120" w:type="dxa"/>
            <w:vAlign w:val="bottom"/>
          </w:tcPr>
          <w:p>
            <w:pPr>
              <w:spacing w:after="0"/>
              <w:rPr>
                <w:sz w:val="21"/>
                <w:szCs w:val="21"/>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40" w:type="dxa"/>
            <w:vAlign w:val="bottom"/>
          </w:tcPr>
          <w:p>
            <w:pPr>
              <w:spacing w:after="0"/>
              <w:rPr>
                <w:sz w:val="21"/>
                <w:szCs w:val="21"/>
                <w:color w:val="auto"/>
              </w:rPr>
            </w:pPr>
          </w:p>
        </w:tc>
        <w:tc>
          <w:tcPr>
            <w:tcW w:w="8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2120" w:type="dxa"/>
            <w:vAlign w:val="bottom"/>
          </w:tcPr>
          <w:p>
            <w:pPr>
              <w:spacing w:after="0"/>
              <w:rPr>
                <w:sz w:val="18"/>
                <w:szCs w:val="18"/>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 January 2023</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15,596</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5,190</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697</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118,697</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(116,263)</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19,571</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Stock</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w:t>
            </w: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based payment charge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1,773</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1,773</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Options forfeited/cancelled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the year</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 of FV for options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forfeited/Cancelled</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Warrants Exercised in the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Forfeited in the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Buyback of Treasury Shares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to be issued in lieu</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directors fees, cash</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bonus and Expenses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transactions with</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owners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896</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1,715</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(697)</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2,164</w:t>
            </w: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Period</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(17,691)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(17,691)</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Translation</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1,492</w:t>
            </w: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(17,691)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w:t>
            </w:r>
          </w:p>
        </w:tc>
      </w:tr>
      <w:tr>
        <w:trPr>
          <w:trHeight w:val="194"/>
        </w:trPr>
        <w:tc>
          <w:tcPr>
            <w:tcW w:w="21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31 December</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8"/>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103</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16,492</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6,905</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118,697</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(1,574)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(133,676)</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225</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(1,636)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5,536</w:t>
            </w: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based payment charge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1,656</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1,656</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Options forfeited/cancelled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the year</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708</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Options exercised in the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Warrants charge</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Buyback and cancellation of</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Shares</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(1,623)</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in lieu of</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fees, bonus and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1,835</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1,613</w:t>
            </w: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in lieu of</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Consultancy Fees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1,785</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1,787</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Net Shares issued for ATM</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Shares issued for</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fundraising</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4,442</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4,447</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910</w:t>
            </w: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transactions with</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6,613</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708</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10,334</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Loss for Period (Restated)</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(12,669)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(12,669)</w:t>
            </w: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(12,669)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(12,741)</w:t>
            </w:r>
          </w:p>
        </w:tc>
      </w:tr>
      <w:tr>
        <w:trPr>
          <w:trHeight w:val="180"/>
        </w:trPr>
        <w:tc>
          <w:tcPr>
            <w:tcW w:w="212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at 31 December</w:t>
            </w: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8"/>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 (Restated)</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111</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23,105</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7,626</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118,697</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(144,831)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(1,708)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3,936</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 based payment charge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1,250</w:t>
            </w: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Options forfeited/cancelled</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the year</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Options exercised in the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Warrants charge</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in lieu of</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directors fees, bonus and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1,343</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1,344</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Net Shares issued for ATM</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10,051</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10,059</w:t>
            </w: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1,948</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1,948</w:t>
            </w: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Total transactions with</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11,558</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923</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14,635</w:t>
            </w:r>
          </w:p>
        </w:tc>
      </w:tr>
    </w:tbl>
    <w:p>
      <w:pPr>
        <w:sectPr>
          <w:pgSz w:w="11900" w:h="16838" w:orient="portrait"/>
          <w:cols w:equalWidth="0" w:num="1">
            <w:col w:w="11240"/>
          </w:cols>
          <w:pgMar w:left="320" w:top="902" w:right="339" w:bottom="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owners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Period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(18,431)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(18,431)</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Translation</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(18,431)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(18,519)</w:t>
            </w:r>
          </w:p>
        </w:tc>
      </w:tr>
      <w:tr>
        <w:trPr>
          <w:trHeight w:val="167"/>
        </w:trPr>
        <w:tc>
          <w:tcPr>
            <w:tcW w:w="212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at 31 December</w:t>
            </w: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r>
      <w:tr>
        <w:trPr>
          <w:trHeight w:val="238"/>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34,663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8,549</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118,697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2,858</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(163,109)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(1,796)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6"/>
        </w:trPr>
        <w:tc>
          <w:tcPr>
            <w:tcW w:w="7400" w:type="dxa"/>
            <w:vAlign w:val="bottom"/>
          </w:tcPr>
          <w:p>
            <w:pPr>
              <w:jc w:val="center"/>
              <w:ind w:left="3750"/>
              <w:spacing w:after="0"/>
              <w:rPr>
                <w:sz w:val="20"/>
                <w:szCs w:val="20"/>
                <w:color w:val="auto"/>
              </w:rPr>
            </w:pPr>
            <w:r>
              <w:rPr>
                <w:rFonts w:ascii="Times New Roman" w:cs="Times New Roman" w:eastAsia="Times New Roman" w:hAnsi="Times New Roman"/>
                <w:sz w:val="18"/>
                <w:szCs w:val="18"/>
                <w:i w:val="1"/>
                <w:iCs w:val="1"/>
                <w:color w:val="auto"/>
                <w:w w:val="99"/>
              </w:rPr>
              <w:t>TIZIANA LIFE SCIENCES LTD</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400" w:type="dxa"/>
            <w:vAlign w:val="bottom"/>
          </w:tcPr>
          <w:p>
            <w:pPr>
              <w:jc w:val="center"/>
              <w:ind w:left="375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400" w:type="dxa"/>
            <w:vAlign w:val="bottom"/>
          </w:tcPr>
          <w:p>
            <w:pPr>
              <w:jc w:val="center"/>
              <w:ind w:left="375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(18,431)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(16,746)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(17,242)</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in lieu of directors fees, bonus and expenses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1,344</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1,613</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in lieu of consultancy fees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Share based payment – restricted stock</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1,948</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910</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payment – options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1,773</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during the year</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(Gain)/loss on investment, net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Write back of bad debt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(Gain)/loss on disposal of assets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foreign exchange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1,519</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right-of-use asset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(outflow)/inflow from taxation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8,784</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related party loan conversion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(795)</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related party receivables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(1,524)</w:t>
            </w: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(decrease)/increase in related party payables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(increase)/decrease in operating assets/other receivables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increase/(decrease) in operating liabilities /other liabilities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3,224</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839</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increase/(decrease) in deferred revenue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(12,847)</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(1,526)</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(15,698)</w:t>
            </w:r>
          </w:p>
        </w:tc>
      </w:tr>
      <w:tr>
        <w:trPr>
          <w:trHeight w:val="216"/>
        </w:trPr>
        <w:tc>
          <w:tcPr>
            <w:tcW w:w="7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Fixed Assets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Related Party</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Okyo Shares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(1,253)</w:t>
            </w:r>
          </w:p>
        </w:tc>
      </w:tr>
      <w:tr>
        <w:trPr>
          <w:trHeight w:val="216"/>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ordinary shares – ATM, net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10,059</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ordinary shares – Fundraise, net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warrants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leasing liabilities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Proceeds of Exercise of options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4,505</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(16,911)</w:t>
            </w:r>
          </w:p>
        </w:tc>
      </w:tr>
      <w:tr>
        <w:trPr>
          <w:trHeight w:val="216"/>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 beginning of year</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3,724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18,122</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 on cash and cash equivalents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 end of year</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3,724</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w:t>
            </w:r>
          </w:p>
        </w:tc>
      </w:tr>
      <w:tr>
        <w:trPr>
          <w:trHeight w:val="655"/>
        </w:trPr>
        <w:tc>
          <w:tcPr>
            <w:tcW w:w="7400" w:type="dxa"/>
            <w:vAlign w:val="bottom"/>
            <w:tcBorders>
              <w:bottom w:val="single" w:sz="8" w:color="auto"/>
            </w:tcBorders>
          </w:tcPr>
          <w:p>
            <w:pPr>
              <w:jc w:val="center"/>
              <w:ind w:left="3750"/>
              <w:spacing w:after="0"/>
              <w:rPr>
                <w:sz w:val="20"/>
                <w:szCs w:val="20"/>
                <w:color w:val="auto"/>
              </w:rPr>
            </w:pPr>
            <w:r>
              <w:rPr>
                <w:rFonts w:ascii="Times New Roman" w:cs="Times New Roman" w:eastAsia="Times New Roman" w:hAnsi="Times New Roman"/>
                <w:sz w:val="18"/>
                <w:szCs w:val="18"/>
                <w:color w:val="auto"/>
                <w:w w:val="95"/>
              </w:rPr>
              <w:t>F-7</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i w:val="1"/>
          <w:iCs w:val="1"/>
          <w:color w:val="auto"/>
        </w:rPr>
        <w:t>TIZIANA LIFE SCIENCES LTD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Tiziana Life Sciences Ltd, (the “Company”) is a public limited company incorporated in Bermuda and at the year-end is quoted on the NASDAQ Capital Market (NASDAQ: TLSA). The previous parent, Tiziana Life Sciences PLC, delisted from the main market of the London Stock Exchange (LSE: TILS) on October 21, 2021. The address of its registered office is given on page 1. The principal activities of the Company and its subsidiaries (the Group) are to design and deliver next generation immunotherapies for neurodegenerative and neuroinflammatory diseases. Our lead immunotherapeutic candidate, Foralumab (TZLS-401), is being developed for Non-Active Secondary Progressive Multiple Sclerosis, Alzheimer’s and other CNS indications. Foralumab is the only fully human anti-CD3 monoclonal antibody under clinical development and is expected to minimize adverse immune responses in patients. Tiziana has submitted a patent application on potential use of Foralumab, to improve success of chimeric antigen receptor T cells (CAR-T) therapy for cancer and other human diseases.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functional currency for the Company is also US dollars ($) indicative of the primary economic environment in which the Company operates.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are presented in thousands of dollars ($’000) which is the presentational currency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principal accounting policies applied in the preparation of these consolidated financial statements are set out below. These policies have been applied consistently to all the years presented unless otherwise stated.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Group have been prepared in accordance with International Financial Reporting Standards (IFRS) as issued by the International Accounting Standards Board (IASB), and International Financial Reporting Interpretations Committee IFRIC interpretations as applicable to companies reporting under IFRS. These accounts have been prepared under the historical cost convention except for the following items:</w:t>
      </w:r>
    </w:p>
    <w:p>
      <w:pPr>
        <w:spacing w:after="0" w:line="176" w:lineRule="exact"/>
        <w:rPr>
          <w:sz w:val="20"/>
          <w:szCs w:val="20"/>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 fair value through profit or loss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 fair value through other comprehensive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incurred losses during the year and has net assets at the year end.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 is in the early stages of developing its business focusing on the discovery and development of novel molecules that treat human disease in oncology and immunology. As the Group is pre-revenue, the Directors expect the Group to incur further losses and to require significant capital expenditure in continuing to develop clinical stage development therapeutic candidates in both oncology and immunology. The Group has successfully funded clinical trials to date and going forward will need to continue to secure additional investment to fund the clinical trials.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has experienced net losses and significant cash outflows from cash used in operating activities over the past years, and as of December 31, 2025, had an accumulated loss of $163m and a net loss for the year ended December 31, 2025 of $18.4m.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Directors have prepared cash flow projections that include the costs associated with the continued clinical trials and additional investment to fund that operation. Based on those projections, that the company will not be able to meet its liabilities as they fall due within the next 12 months from the date when these financial statements are issued. The Directors are however aware, through their own extensive experience in the sector, that this position is not uncommon in the context of a pre-revenue life sciences company principally involved in cash consuming research and development activity.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2" w:name="page133"/>
    <w:bookmarkEnd w:id="13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top line data for a number of the phase 2 clinical trials is expected in 2026, and the Directors are taking steps to put engagements and plans into place to ensure that sufficient funds will be forthcoming. These steps include possible deferred payments of existing liabilities, working capital cost reductions and raising additional equity. Until and unless the Group and Company secures sufficient investment to fund their clinical pipeline, there is a material uncertainty that may cast significant doubt on the Group and Company’s ability to continue as a going concern, and therefore, that it may be unable to realize its assets and discharge its liabilities in the normal course of business. Despite this material uncertainty, the Directors conclude that it is appropriate to continue to adopt the going concern basis of accounting as the Directors are confident, based on the previous fund-raising history as well as additional measures being planned, that sufficient funds will be forthcoming and accordingly they have prepared these financial statements on a going concern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and Revised Standards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Standards in effect in 2025</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new IFRS standards, amendments to standards or interpretations that are mandatory for the financial year beginning on January 1, 2025, that are relevant to the Group and that have had any impact in the year to December 31, 2025. New standards, amendments to standards and interpretations that are not yet effective, have been deemed by the Group as currently not relevant and are not listed here.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Subsidiary undertakings are all entities over which the Group exercises control. The Group has control when it can demonstrate all of the following: (a) power over the investee; (b) exposure, or rights, to variable returns from its involvement with the investee; and (c) the ability to use its power over the investee to affect the amount of the investor’s return.</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existence and effect of both current voting rights and potential voting rights that are currently exercisable or convertible are considered when assessing whether control of an entity is exercised. Subsidiaries are consolidated from the date at which the Group obtains control and are de-consolidated from the date at which control ceases.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Group undertook a group reorganization exercise during the year to December 31, 2021. As part of this process, Tiziana Life Sciences Ltd (a Bermudan entity) was inserted above Tiziana Life Sciences Limited (formerly Tiziana Life Sciences Plc) in the Group’s structure. As both entities were under common control of Planwise Ltd, the transaction does not constitute a business combination under IFRS 3 ‘Business combinations’ and instead has been accounted for as a group reorganization, using the pooling of interest method. This results in assets and liabilities being measured at their carrying amount in Tiziana Life Sciences Limited (formerly Tiziana Life Sciences Plc) but share capital being that of Tiziana Life Sciences Ltd (a Bermudan entity). Merger accounting has been used to account for this transaction (See note 15 for details).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21 October 2021, Tiziana Life Sciences Ltd. (the ‘Company’) acquired the entire shareholding of the former Tiziana Life Sciences Plc and its related subsidiaries, by a way of a share for share exchange with Tiziana Life Sciences Ltd becoming the Group’s immediate parent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21 October 2021, the Company was admitted for listing on the NASDAQ Capital Market Exchange and the former Tiziana Life Sciences Plc was delisted from the London Stock Exchange.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segments are reported in a manner consistent with the internal reporting provided to the Board. The Board considers there to be only one operating segment being the research and development of biotechnological and pharmaceutical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tax expense/(credit) for the year represents the total of current taxation and deferred taxation. The charge/(credit) in respect of current taxation is based on the estimated taxable profit or loss for the year. Current tax is provided at amounts expected to be paid (or recovered) using the tax rates and laws that have been enacted or substantively enacted by the balance sheet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Deferred tax is provided in full, using the liability method, on temporary differences arising between the tax bases of assets and liabilities and their carrying amounts in the consolidated financial statements. Deferred tax is determined using tax rates (and laws) that have been enacted or substantially enacted by the balance sheet date and expected to apply when the related deferred tax is realized, or the deferred liability is settled. Deferred tax assets are recognized to the extent that it is probable that the future taxable profit will be available against which the temporary differences can be utilized.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tax credits are provided for in the year that the costs are incurred. These are estimated based on eligible research and development expenditure. Any differences that are rebated are recognized in the following year, when the cash is received from the UK tax authorities.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Items included in the financial statements of each of the Group’s entities are measured using the currency of the primary economic environment in which the entity operates (the functional currency). The consolidated financial statements are presented in US dollars, which is the Group’s presentational currency.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Foreign currency transactions are translated into the functional currency using exchange rates prevailing at the dates of the transactions. Foreign exchange gains and losses resulting from the settlement of foreign currency transactions and from the translation at year-end exchange rates of monetary assets and liabilities denominated in foreign currencies are recognized in the Consolidated statements of operations and comprehensive loss.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statements of overseas subsidiary undertakings are translated into US dollars on the following basis:</w:t>
      </w:r>
    </w:p>
    <w:p>
      <w:pPr>
        <w:spacing w:after="0" w:line="225" w:lineRule="exact"/>
        <w:rPr>
          <w:sz w:val="20"/>
          <w:szCs w:val="20"/>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and liabilities at the rate of exchange ruling at the year-end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and loss account items at the average rate of exchange for the year.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Exchange differences arising from the translation of the net investment in foreign entities, borrowings and other currency instruments designated as hedges of such investments, are taken to equity (and recognized in the Consolidated statements of operations and comprehensive loss) 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fees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Payments made which provide the right to perform research are carefully evaluated to determine whether such payments are to fund research or acquire an asset. “License fees expenses” are recognized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on-going research and development expenditure is currently expensed in the period in which it is incurred. Due to the regulatory environment inherent in the development of the Group’s products, the criteria for development costs to be recognized as an asset, as set out in IAS 38 ‘Intangible Assets’, are not met until a product has been granted regulatory approval and it is probable that future economic benefit will flow to the Group. The Group currently has no qualifying expenditure.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have assessed the categorization of the fair value measurements using the IFRS 13 fair value hierarchy. Categorization within the hierarchy has been determined on the basis of the lowest level of input that is significant to the fair value measurement of the relevant asset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valued using quoted prices in active markets for identical assets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valued by reference to valuation techniques using observable inputs other than quoted prices included within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valued by reference to valuation techniques using inputs that are not based on observable market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classifies a financial instrument, or its component parts, as a financial liability, a financial asset or an equity instrument in accordance with the substance of the contractual arrangement and the definitions of a financial liability, a financial asset and an equity instrument.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evaluates the terms of the financial instrument to determine whether it contains an asset, a liability or an equity component. Such components shall be classified separately as financial assets, financial liabilities or equity instruments.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financial instrument is any contract that gives rise to a financial asset of one entity and a financial liability or equity instrument of another entity.</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Financial assets, initial recognition and measurement and subsequent measurement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financial assets not recorded at fair value through profit or loss, such as receivables and deposits, are recognized initially at fair value plus transaction costs. Financial assets carried at fair value through profit or loss (FVTPL) are initially recognized at fair value, and transaction costs are expensed in the consolidated statements of operations and comprehensive loss. The measurement of financial assets depends on their classification. Financial assets such as receivables and deposits are subsequently measured at amortized cost using the effective interest method, less loss allowance. The Group holds an investment in Accustem Inc. and Okyo Pharma Limited as a financial asset at fair value through profit or loss.</w:t>
      </w:r>
    </w:p>
    <w:p>
      <w:pPr>
        <w:spacing w:after="0" w:line="183" w:lineRule="exact"/>
        <w:rPr>
          <w:sz w:val="20"/>
          <w:szCs w:val="20"/>
          <w:color w:val="auto"/>
        </w:rPr>
      </w:pPr>
    </w:p>
    <w:p>
      <w:pPr>
        <w:ind w:left="660" w:right="4100" w:hanging="4"/>
        <w:spacing w:after="0" w:line="500" w:lineRule="auto"/>
        <w:tabs>
          <w:tab w:leader="none" w:pos="9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liabilities, initial recognition and measurement and subsequent measurement Financial liabilities are classified as measured at amortized cost or FVTPL.</w:t>
      </w:r>
    </w:p>
    <w:p>
      <w:pPr>
        <w:spacing w:after="0" w:line="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financial liability is classified as at FVTPL if it is a derivative. Financial liabilities at FVTPL are measured at fair value and net gains and losses, including any interest expense, are recognized in profit or loss. Other financial liabilities are subsequently measured at amortized cost using the effective interest method. Interest expense and foreign exchange gains and losses are recognized in profit or loss. Any gain or loss on derecognition is also recognized in profit or loss.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Group’s financial liabilities include trade and other payables.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are issued by the Group in return for services and as part of a financing transaction.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issued in return for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warrants fall within the scope of IFRS 2. The Company recognizes that the fair value at the date of grant of these warrants should be expensed to the Statement of Income and recognized over the life of the service for which the warrant was provided. These warrants have been valued by reference to the equity instruments granted as they are all tied to Convertible loan notes. The measurement date is therefore the date that the Convertible loan note was entered into.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issued as part of a financing transaction.</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Warrants issued as part of a financing transaction fall outside the scope of IFRS 2. These are classified as equity instruments because a fixed amount of cash is exchanged for a fixed amount of equity. The fair value is recognized within equity and is not remeasured.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Ordinary shares of the Company are classified as equity.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Recognition and measurement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Items of property, plant and equipment are measured at cost less accumulated depreciation and accumulated impairment losses. Costs include expenditures that are directly attributable to the acquisition of the asset. Purchased software that is integral to the functionality of the related equipment is capitalized as part of that equipment.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parts of an item of property, plant and equipment have different useful lives, they are accounted for as separate items (major components) of property, plant and equipment.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Gains and losses on disposal of an item of property, plant and equipment are determined by comparing the proceeds from disposal with the carrying amount of property, plant and equipment, and are recognized in profit or loss.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Depreciation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is calculated on the depreciable amount, which is the cost of an asset, or other amount substituted for cost, less its residual value.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is recognized in consolidated statements of operations and comprehensive loss on a straight-line basis over the estimated useful life of each part of an item of property, plant and equipment. Leased assets are depreciated over the shorter of the lease term and their useful lives unless it is reasonably certain that the Group will obtain ownership by the end of the lease term in which case they are depreciated over their useful lives.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useful lives for the current period and the comparative period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Fixtures and fittings</w:t>
            </w:r>
          </w:p>
        </w:tc>
        <w:tc>
          <w:tcPr>
            <w:tcW w:w="7140" w:type="dxa"/>
            <w:vAlign w:val="bottom"/>
            <w:shd w:val="clear" w:color="auto" w:fill="CCEEFF"/>
          </w:tcPr>
          <w:p>
            <w:pPr>
              <w:ind w:left="26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IT and equipment</w:t>
            </w:r>
          </w:p>
        </w:tc>
        <w:tc>
          <w:tcPr>
            <w:tcW w:w="71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7140" w:type="dxa"/>
            <w:vAlign w:val="bottom"/>
            <w:shd w:val="clear" w:color="auto" w:fill="CCEEFF"/>
          </w:tcPr>
          <w:p>
            <w:pPr>
              <w:ind w:left="2660"/>
              <w:spacing w:after="0"/>
              <w:rPr>
                <w:sz w:val="20"/>
                <w:szCs w:val="20"/>
                <w:color w:val="auto"/>
              </w:rPr>
            </w:pPr>
            <w:r>
              <w:rPr>
                <w:rFonts w:ascii="Times New Roman" w:cs="Times New Roman" w:eastAsia="Times New Roman" w:hAnsi="Times New Roman"/>
                <w:sz w:val="18"/>
                <w:szCs w:val="18"/>
                <w:color w:val="auto"/>
              </w:rPr>
              <w:t>Economic life of contractual relationship</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methods, useful lives and residual values are reviewed at each reporting date. Depreciation is allocated to the operating expenses line of the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Impairment of financial assets measured at amortized cost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each reporting date the Group recognizes a loss allowance for expected credit losses on financial assets measured at amortized cost.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establishing the appropriate amount of loss allowance to be recognized, the Group applies either the general approach or the simplified approach, depending on the nature of the underlying group of financial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approach</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general approach is applied to the impairment assessment of refundable lease deposits and other refundable lease contributions, and cash and cash equivalents.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general approach the Group recognizes a loss allowance for a financial asset at an amount equal to the 12-month expected credit losses, unless the credit risk on the financial asset has increased significantly since initial recognition, in which case a loss allowance is recognized at an amount equal to the lifetime expected credit losses.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i w:val="1"/>
          <w:iCs w:val="1"/>
          <w:color w:val="auto"/>
        </w:rPr>
        <w:t>Simplified approach</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simplified approach is applied to the impairment assessment of other receivables.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simplified approach the Group always recognizes a loss allowance for a financial asset at an amount equal to the lifetime expected credit losses.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non-financial assets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Non-financial assets are tested for impairment whenever events or changes in circumstances indicate that the carrying amount may not be recoverable.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Non-financial assets are impaired when carrying amounts exceed recoverable amounts. The recoverable amount is measured as the higher of fair value less cost of disposal and value in use. The value in use is calculated as being net projected cash flows based on financial forecasts discounted back to present value at a pre-tax discount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treatment of deferred income involves recognizing it as a liability until performance obligations are met. This approach aligns with IFRS 15, which emphasizes the importance of recognizing income over time rather than upfront. Deferred income arises when a company receives payment before fulfilling its performance obligations. As the Company fulfills its obligations it gradually recognizes the deferred income as income in its income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required to make judgments about contingent liabilities including the probability of pending and potential future litigation outcomes that, by their nature, are dependent on future events that are inherently uncertain. In making its determination of possible scenarios, management considers the evaluation of outside counsel knowledgeable about each matter, as well as known outcomes in case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leases are accounted for by recognizing a right-of-use asset and a lease liability except for:</w:t>
      </w:r>
    </w:p>
    <w:p>
      <w:pPr>
        <w:spacing w:after="0" w:line="225" w:lineRule="exact"/>
        <w:rPr>
          <w:sz w:val="20"/>
          <w:szCs w:val="20"/>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of low value assets;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with a duration of 12 months or less.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 has leases for its offices. Each lease is reflected on the consolidated balance sheet as a right-of-use asset and a lease liability. The Group does not have any leases of low value assets. Variable lease payments which do not depend on an index or a rate (such as lease payments based on a percentage of Group sales) are excluded from the initial measurement of the lease liability and asset. The Group classifies its right-of-use assets in a consistent manner to its property, plant and equipment (see Note 21).</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leases over office buildings and factory premises the Group must keep those properties in a good state of repair and return the properties in their original condition at the end of the lease. The expected costs of returning to its original condition are considered negligible.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lease commencement date, the Group recognizes a right-of-use asset and a lease liability in its consolidated balance sheets. The right-of-use asset is measured at cost, which is made up of the initial measurement of the lease liability, any initial direct costs incurred by the Group, an estimate of any costs to dismantle and remove the asset at the end of the lease, and any lease payments made in advance of the lease commencement date (net of any incentives received).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commencement date, the Group measures the lease liability at the present value of the lease payments unpaid at that date, discounted using the Group’s incremental borrowing rate because as the lease contracts are negotiated with third parties it is not possible to determine the interest rate that is implicit in the lease. The incremental borrowing rate is the estimated rate that the Group would have to pay to borrow the same amount over a similar term, and with similar security to obtain an asset of equivalent value. This rate is adjusted should the lessee entity have a different risk profile to that of the Group.</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depreciates the right-of-use asset on a straight-line basis from the lease commencement date to the earlier of the end of the useful life of the right-of-use asset or the end of the lease term. The Group also assesses the right-of-use asset for impairment when such indicators exist.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7" w:name="page138"/>
    <w:bookmarkEnd w:id="13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are made up of fixed payments (including in substance fixed), variable payments based on an index or rate, amounts expected to be payable under a residual value guarantee and payments arising from options reasonably certain to be exercised.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Subsequent to initial measurement, the liability will be reduced by lease payments that are allocated between repayments of principal and finance costs. The finance cost is the amount that produces a constant periodic rate of interest on the remaining balance of the lease liability.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Short term leases exempt from IFRS 16 are classified as operating leases. Payments made under operating leases are recognized in profit and loss on a straight-line basis over the term of the 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 based payments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the fair value of equity-settled share-based awards and the resulting charge to the Consolidated statements of operations and comprehensive loss requires assumptions to be made regarding future events and market conditions. These assumptions include the future volatility of the Company’s share price. These assumptions are then applied to a recognized valuation model in order to calculate the fair value of the awards.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 employees and directors are rewarded using share-based payments, the fair value of the employees’, directors’ and/or advisers’ services are determined by reference to the fair value of the share options/warrants awarded. Their value is appraised at the date of grant and excludes the impact of any nonmarket vesting conditions (for example, profitability and sales growth targets).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IFRS 2, a charge is made to the Consolidated statements of operations and comprehensive loss for all share-based payments including share options based upon the fair value of the instrument used. A corresponding credit is made to an equity reserve, in the case of options/warrants awarded to employees, directors, advisers and other consultants.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vesting periods or other vesting conditions apply, the expense is allocated over the vesting period, based on the best available estimate of the number of share options/warrants expected to vest. Non- market vesting conditions are included in assumptions about the number of options/warrants that are expected to become exercisable.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Estimates are subsequently revised, if there is any indication that the number of share options/warrants expected to vest differs from previous estimates. No adjustment is made to the expense or share issue cost recognized in prior periods if fewer share options ultimately are exercised than originally estimated.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Upon exercise of share options/warrants, the proceeds received are allocated to share capital with any excess being recorded as share premium. A corresponding debit is made to the share–based payment reserve.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 share options are cancelled, this is treated as an acceleration of the vesting period of the options. The amount that otherwise would have been recognized for services received over the remainder of the vesting period is recognized immediately within the Consolidated statements of operations and comprehensive loss.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goods and services received in exchange for the grant of any share – based payment are measured at their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 RSUs are granted to directors or employees, the fair value of the RSUs at grant date is based upon the market price of the shares underlying the awards and this is charged to the Statement of Comprehensive Income over the vesting period. There are no internal performance conditions. The expense charged is adjusted based on actual forfeitures.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intangible assets that are acquired by the Group are stated at cost less accumulated impairment losses.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each balance sheet date non-financial assets are assessed to determine whether there is an indication that the asset or the asset’s cash generating unit may be impaired. If there is such an indication the recoverable amount of the asset or asset’s cash generating unit is compared to the carrying amount.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CRITICAL ACCOUNTING JUDGEMENT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information in accordance with generally accepted accounting practice, in the case of the Group being International Financial Reporting Standards as issued by the IASB, requires the directors to make estimates and judgements that affect the reported amount of assets, liabilities, income and expenditure and the disclosures made in the consolidated financial statements. Such estimates and judgements must be continually evaluated based on historical experience and other factors, including expectations of future events.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considered to be critical accounting estimates: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accounts for share-based payment transactions for employees in accordance with IFRS 2 Share-based Payment, which requires the measurement of the cost of employee services received in exchange for the options on our ordinary shares, based on the fair value of the award on the grant date.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utilizes the Black-Scholes-Merton option pricing model as the most appropriate method for determining the estimated fair value of our share-based awards without market conditions. For performance-based options that include vesting conditions relating to the market performance of our ordinary shares, a Monte Carlo pricing model was used in order to reflect the valuation impact of price hurdles that have to be met as conditions to vesting.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makes estimates as to the useful life of an option award, the expected price volatility of the underlying share, risk free interest rate for the term of the award and correlations and volatilities of the shares of peer group companies. The Company also makes estimates as to the vesting period for awards that have performance – based criteria.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OPERATING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Group’s operating losses are stated after charging/(crediting) the following:</w:t>
      </w:r>
    </w:p>
    <w:p>
      <w:pPr>
        <w:spacing w:after="0" w:line="235"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19685</wp:posOffset>
            </wp:positionV>
            <wp:extent cx="241744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7720"/>
        <w:spacing w:after="0"/>
        <w:tabs>
          <w:tab w:leader="none" w:pos="9060" w:val="left"/>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p>
      <w:pPr>
        <w:ind w:left="7680"/>
        <w:spacing w:after="0"/>
        <w:tabs>
          <w:tab w:leader="none" w:pos="9020" w:val="left"/>
          <w:tab w:leader="none" w:pos="10340" w:val="left"/>
        </w:tabs>
        <w:rPr>
          <w:sz w:val="20"/>
          <w:szCs w:val="20"/>
          <w:color w:val="auto"/>
        </w:rPr>
      </w:pPr>
      <w:r>
        <w:rPr>
          <w:rFonts w:ascii="Times New Roman" w:cs="Times New Roman" w:eastAsia="Times New Roman" w:hAnsi="Times New Roman"/>
          <w:sz w:val="18"/>
          <w:szCs w:val="18"/>
          <w:b w:val="1"/>
          <w:bCs w:val="1"/>
          <w:color w:val="auto"/>
        </w:rPr>
        <w:t>$’000</w:t>
      </w:r>
      <w:r>
        <w:rPr>
          <w:sz w:val="20"/>
          <w:szCs w:val="20"/>
          <w:color w:val="auto"/>
        </w:rPr>
        <w:tab/>
      </w:r>
      <w:r>
        <w:rPr>
          <w:rFonts w:ascii="Times New Roman" w:cs="Times New Roman" w:eastAsia="Times New Roman" w:hAnsi="Times New Roman"/>
          <w:sz w:val="18"/>
          <w:szCs w:val="18"/>
          <w:b w:val="1"/>
          <w:bCs w:val="1"/>
          <w:color w:val="auto"/>
        </w:rPr>
        <w:t>$’000</w:t>
      </w:r>
      <w:r>
        <w:rPr>
          <w:sz w:val="20"/>
          <w:szCs w:val="20"/>
          <w:color w:val="auto"/>
        </w:rPr>
        <w:tab/>
      </w:r>
      <w:r>
        <w:rPr>
          <w:rFonts w:ascii="Times New Roman" w:cs="Times New Roman" w:eastAsia="Times New Roman" w:hAnsi="Times New Roman"/>
          <w:sz w:val="18"/>
          <w:szCs w:val="18"/>
          <w:b w:val="1"/>
          <w:bCs w:val="1"/>
          <w:color w:val="auto"/>
        </w:rPr>
        <w:t>$’000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3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3"/>
        </w:trPr>
        <w:tc>
          <w:tcPr>
            <w:tcW w:w="73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License fee</w:t>
            </w:r>
          </w:p>
        </w:tc>
        <w:tc>
          <w:tcPr>
            <w:tcW w:w="1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563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(Right-of-use asset)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(gains)/losses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under review Management identified the Group’s only operating segment as the research and development of biotechnological and pharmaceutical products. This one segment is monitored and strategic decisions are made based upon it and other non-financial data collated from industry intelligence. The form of financial reporting reported to the Board is consistent with those presented in the annual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EMPLOYEES</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gridSpan w:val="7"/>
          </w:tcPr>
          <w:p>
            <w:pPr>
              <w:ind w:left="8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19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Borders>
              <w:top w:val="single" w:sz="8" w:color="auto"/>
            </w:tcBorders>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Staff costs comprised:</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salaries (including bonus)</w:t>
            </w:r>
          </w:p>
        </w:tc>
        <w:tc>
          <w:tcPr>
            <w:tcW w:w="1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Employees’ wages, salaries and bonus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Social security costs</w:t>
            </w:r>
          </w:p>
        </w:tc>
        <w:tc>
          <w:tcPr>
            <w:tcW w:w="1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Recruitment fees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payment (credit) / charge</w:t>
            </w:r>
          </w:p>
        </w:tc>
        <w:tc>
          <w:tcPr>
            <w:tcW w:w="112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2,338</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7"/>
        </w:trPr>
        <w:tc>
          <w:tcPr>
            <w:tcW w:w="3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2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5,587</w:t>
            </w:r>
          </w:p>
        </w:tc>
        <w:tc>
          <w:tcPr>
            <w:tcW w:w="8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4,596</w:t>
            </w:r>
          </w:p>
        </w:tc>
        <w:tc>
          <w:tcPr>
            <w:tcW w:w="0" w:type="dxa"/>
            <w:vAlign w:val="bottom"/>
          </w:tcPr>
          <w:p>
            <w:pPr>
              <w:spacing w:after="0"/>
              <w:rPr>
                <w:sz w:val="1"/>
                <w:szCs w:val="1"/>
                <w:color w:val="auto"/>
              </w:rPr>
            </w:pPr>
          </w:p>
        </w:tc>
      </w:tr>
      <w:tr>
        <w:trPr>
          <w:trHeight w:val="157"/>
        </w:trPr>
        <w:tc>
          <w:tcPr>
            <w:tcW w:w="7440" w:type="dxa"/>
            <w:vAlign w:val="bottom"/>
            <w:tcBorders>
              <w:top w:val="single" w:sz="8" w:color="CCEEFF"/>
              <w:right w:val="single" w:sz="8" w:color="CCEEFF"/>
            </w:tcBorders>
            <w:gridSpan w:val="8"/>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The average monthly number of employees, including directors, employed by the group during the</w:t>
            </w:r>
          </w:p>
        </w:tc>
        <w:tc>
          <w:tcPr>
            <w:tcW w:w="1040" w:type="dxa"/>
            <w:vAlign w:val="bottom"/>
            <w:tcBorders>
              <w:top w:val="single" w:sz="8" w:color="auto"/>
              <w:right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 was:</w:t>
            </w:r>
          </w:p>
        </w:tc>
        <w:tc>
          <w:tcPr>
            <w:tcW w:w="112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administration</w:t>
            </w:r>
          </w:p>
        </w:tc>
        <w:tc>
          <w:tcPr>
            <w:tcW w:w="112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
        </w:trPr>
        <w:tc>
          <w:tcPr>
            <w:tcW w:w="60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REMUNERATION OF KEY MANAGEMENT PERSONNEL</w:t>
            </w: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020" w:type="dxa"/>
            <w:vAlign w:val="bottom"/>
            <w:gridSpan w:val="6"/>
            <w:vMerge w:val="continue"/>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28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$’000</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Fees and</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Fees and</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Fees and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short term</w:t>
            </w: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Post</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short term</w:t>
            </w: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Post</w:t>
            </w: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short term</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Post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employment</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employment</w:t>
            </w:r>
          </w:p>
        </w:tc>
        <w:tc>
          <w:tcPr>
            <w:tcW w:w="1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employment</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Key Management Personnel</w:t>
            </w:r>
          </w:p>
        </w:tc>
        <w:tc>
          <w:tcPr>
            <w:tcW w:w="14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2,654</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14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2,534</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1"/>
        </w:trPr>
        <w:tc>
          <w:tcPr>
            <w:tcW w:w="3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F-16</w:t>
            </w: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40" w:name="page141"/>
    <w:bookmarkEnd w:id="140"/>
    <w:p>
      <w:pPr>
        <w:ind w:left="660"/>
        <w:spacing w:after="0"/>
        <w:rPr>
          <w:sz w:val="20"/>
          <w:szCs w:val="20"/>
          <w:color w:val="auto"/>
        </w:rPr>
      </w:pPr>
      <w:r>
        <w:rPr>
          <w:rFonts w:ascii="Times New Roman" w:cs="Times New Roman" w:eastAsia="Times New Roman" w:hAnsi="Times New Roman"/>
          <w:sz w:val="18"/>
          <w:szCs w:val="18"/>
          <w:color w:val="auto"/>
        </w:rPr>
        <w:t>Key management personnel of the Group are comprised of directors and officers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bonuses are short term. There was $50k in post-employment severance payments made during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share options and restricted stock awards were granted to directors in the following periods: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6"/>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194"/>
        </w:trPr>
        <w:tc>
          <w:tcPr>
            <w:tcW w:w="73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732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w:t>
            </w: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key management personnel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187,500</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337,500</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share options were exercised by directors or officers during the years ended December 31, 2025, 2024 and 2023.</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made payments totaling approximately $36k, $21k, and $25k (restated) to defined contribution pension schemes on behalf of directors and employees during 2025, 2024, and 2023,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8. FINANCE/OTHER INCOME REVENUE AND COSTS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96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14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6"/>
                <w:szCs w:val="16"/>
                <w:color w:val="auto"/>
              </w:rPr>
            </w:pPr>
          </w:p>
        </w:tc>
        <w:tc>
          <w:tcPr>
            <w:tcW w:w="110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15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$’000</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189"/>
        </w:trPr>
        <w:tc>
          <w:tcPr>
            <w:tcW w:w="52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7"/>
              </w:rPr>
              <w:t>Group</w:t>
            </w:r>
          </w:p>
        </w:tc>
        <w:tc>
          <w:tcPr>
            <w:tcW w:w="6800" w:type="dxa"/>
            <w:vAlign w:val="bottom"/>
            <w:gridSpan w:val="3"/>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Investment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FV Gain on Investment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Interest Received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4"/>
          </w:tcPr>
          <w:p>
            <w:pPr>
              <w:spacing w:after="0" w:line="203" w:lineRule="exact"/>
              <w:rPr>
                <w:sz w:val="20"/>
                <w:szCs w:val="20"/>
                <w:color w:val="auto"/>
              </w:rPr>
            </w:pPr>
            <w:r>
              <w:rPr>
                <w:rFonts w:ascii="Times New Roman" w:cs="Times New Roman" w:eastAsia="Times New Roman" w:hAnsi="Times New Roman"/>
                <w:sz w:val="18"/>
                <w:szCs w:val="18"/>
                <w:color w:val="auto"/>
              </w:rPr>
              <w:t>Total finance income</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2,719</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814</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Finance Expense</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Fair Value loss on Investment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1,760</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7"/>
        </w:trPr>
        <w:tc>
          <w:tcPr>
            <w:tcW w:w="732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finance Expense</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4"/>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1,766</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gridSpan w:val="4"/>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finance income/ (expense) recognized in Consolidated statements of operations and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7320" w:type="dxa"/>
            <w:vAlign w:val="bottom"/>
            <w:gridSpan w:val="4"/>
            <w:vMerge w:val="continue"/>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(952)</w:t>
            </w:r>
          </w:p>
        </w:tc>
        <w:tc>
          <w:tcPr>
            <w:tcW w:w="2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80" w:type="dxa"/>
            <w:vAlign w:val="bottom"/>
            <w:vMerge w:val="restart"/>
          </w:tcPr>
          <w:p>
            <w:pPr>
              <w:ind w:left="4220"/>
              <w:spacing w:after="0"/>
              <w:rPr>
                <w:sz w:val="20"/>
                <w:szCs w:val="20"/>
                <w:color w:val="auto"/>
              </w:rPr>
            </w:pPr>
            <w:r>
              <w:rPr>
                <w:rFonts w:ascii="Times New Roman" w:cs="Times New Roman" w:eastAsia="Times New Roman" w:hAnsi="Times New Roman"/>
                <w:sz w:val="18"/>
                <w:szCs w:val="18"/>
                <w:color w:val="auto"/>
              </w:rPr>
              <w:t>F-17</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TAXATION</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98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14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6"/>
                <w:szCs w:val="16"/>
                <w:color w:val="auto"/>
              </w:rPr>
            </w:pPr>
          </w:p>
        </w:tc>
        <w:tc>
          <w:tcPr>
            <w:tcW w:w="1100" w:type="dxa"/>
            <w:vAlign w:val="bottom"/>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16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0" w:type="dxa"/>
            <w:vAlign w:val="bottom"/>
          </w:tcPr>
          <w:p>
            <w:pPr>
              <w:spacing w:after="0"/>
              <w:rPr>
                <w:sz w:val="1"/>
                <w:szCs w:val="1"/>
                <w:color w:val="auto"/>
              </w:rPr>
            </w:pPr>
          </w:p>
        </w:tc>
      </w:tr>
      <w:tr>
        <w:trPr>
          <w:trHeight w:val="162"/>
        </w:trPr>
        <w:tc>
          <w:tcPr>
            <w:tcW w:w="7320" w:type="dxa"/>
            <w:vAlign w:val="bottom"/>
            <w:gridSpan w:val="2"/>
            <w:vMerge w:val="continue"/>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20" w:type="dxa"/>
            <w:vAlign w:val="bottom"/>
            <w:tcBorders>
              <w:top w:val="single" w:sz="8" w:color="auto"/>
            </w:tcBorders>
          </w:tcPr>
          <w:p>
            <w:pPr>
              <w:spacing w:after="0"/>
              <w:rPr>
                <w:sz w:val="4"/>
                <w:szCs w:val="4"/>
                <w:color w:val="auto"/>
              </w:rPr>
            </w:pPr>
          </w:p>
        </w:tc>
        <w:tc>
          <w:tcPr>
            <w:tcW w:w="6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 tax (credit)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(4,883)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due to prior periods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tax (credit) for the period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tax charge for the year is different from the standard rate of corporation tax in the United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Kingdom of 25%. The difference can be reconciled as follows:</w:t>
            </w: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taxation</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(18,431)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(16,746)</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(17,242)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charged at standard rate of corporation tax 25% 2024, 23.52% 2023, 19%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Movement in unrecognized deferred tax</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2,942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not deductible for taxation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3,142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3,961</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due to prior periods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claim</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(4,883)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not taxable for tax purposes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(2,574)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(1,894)</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 differences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Gains/(losses)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 Other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Tax – Other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68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Research and Development claim will be calculated in accordance with the R&amp;D tax relief available to small and medium sized entities, whereby the entity is able to claim a cash tax credit (if loss making), worth up to 14.5% of the surrenderable losses.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adjustments due to prior periods relate to R&amp;D tax relief claims for the prior period. Under UK tax legislation, a 2-year window is available under which R&amp;D tax relief can be claimed.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deferred tax asset has been recognized in respect of trading losses carried forward because of uncertainty as to when these losses will be recoverable.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amount of tax losses for which no deferred tax assets have been recognized for the year ended December 31, 2025 is $ 22,016k. (2024 is $16,844k; 2023; $18,137k).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LOSS PER SHARE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Basic loss per share is calculated by dividing the loss attributable to equity holders of the Company by the weighted average number of ordinary shares in issue during the year.</w:t>
      </w:r>
    </w:p>
    <w:p>
      <w:pPr>
        <w:spacing w:after="0" w:line="17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19685</wp:posOffset>
            </wp:positionV>
            <wp:extent cx="241744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0" w:lineRule="exact"/>
        <w:rPr>
          <w:sz w:val="20"/>
          <w:szCs w:val="20"/>
          <w:color w:val="auto"/>
        </w:rPr>
      </w:pPr>
    </w:p>
    <w:p>
      <w:pPr>
        <w:ind w:left="7720"/>
        <w:spacing w:after="0"/>
        <w:tabs>
          <w:tab w:leader="none" w:pos="9060" w:val="left"/>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19685</wp:posOffset>
            </wp:positionV>
            <wp:extent cx="241744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attributable to equity holders of the Company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number of ordinary shares in issue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loss per share (cents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(18,431)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(11,863)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(17,691)</w:t>
            </w:r>
          </w:p>
        </w:tc>
      </w:tr>
      <w:tr>
        <w:trPr>
          <w:trHeight w:val="241"/>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118,282,753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106,672,342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102,471,016</w:t>
            </w:r>
          </w:p>
        </w:tc>
        <w:tc>
          <w:tcPr>
            <w:tcW w:w="40" w:type="dxa"/>
            <w:vAlign w:val="bottom"/>
          </w:tcPr>
          <w:p>
            <w:pPr>
              <w:spacing w:after="0"/>
              <w:rPr>
                <w:sz w:val="20"/>
                <w:szCs w:val="20"/>
                <w:color w:val="auto"/>
              </w:rPr>
            </w:pPr>
          </w:p>
        </w:tc>
      </w:tr>
      <w:tr>
        <w:trPr>
          <w:trHeight w:val="216"/>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98" w:lineRule="exact"/>
        <w:rPr>
          <w:sz w:val="20"/>
          <w:szCs w:val="20"/>
          <w:color w:val="auto"/>
        </w:rPr>
      </w:pPr>
    </w:p>
    <w:p>
      <w:pPr>
        <w:sectPr>
          <w:pgSz w:w="11900" w:h="16838" w:orient="portrait"/>
          <w:cols w:equalWidth="0" w:num="2">
            <w:col w:w="6600" w:space="720"/>
            <w:col w:w="3920"/>
          </w:cols>
          <w:pgMar w:left="320" w:top="900" w:right="339" w:bottom="1440" w:gutter="0" w:footer="0" w:header="0"/>
          <w:type w:val="continuous"/>
        </w:sect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the Group is reporting a loss from continuing operations for the year then, in accordance with IAS 33, share options and warrants are not considered dilutive because the exercise of the share options and warrants would have an anti-dilutive effect. The basic and diluted earnings per share as presented on the face of the income statement are therefore identical. All earnings per share figures presented above arise from continuing and total operations and therefore no earnings per share for discontinued operations are presented. The weighted average number of ordinary shares in issuance is stated net excluding Treasury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OTHER RECEIVABLES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7"/>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receivable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174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285</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 receivable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1"/>
                <w:szCs w:val="21"/>
                <w:color w:val="auto"/>
              </w:rPr>
            </w:pPr>
          </w:p>
        </w:tc>
      </w:tr>
      <w:tr>
        <w:trPr>
          <w:trHeight w:val="210"/>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ind w:left="860"/>
              <w:spacing w:after="0" w:line="203" w:lineRule="exact"/>
              <w:rPr>
                <w:sz w:val="20"/>
                <w:szCs w:val="20"/>
                <w:color w:val="auto"/>
              </w:rPr>
            </w:pPr>
            <w:r>
              <w:rPr>
                <w:rFonts w:ascii="Times New Roman" w:cs="Times New Roman" w:eastAsia="Times New Roman" w:hAnsi="Times New Roman"/>
                <w:sz w:val="18"/>
                <w:szCs w:val="18"/>
                <w:color w:val="auto"/>
                <w:w w:val="88"/>
              </w:rPr>
              <w:t>558</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differences between the carrying amount and fair value of any of the trade and other receivables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SHARE CAPITAL AND SHARE PREMIUM</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460" w:type="dxa"/>
            <w:vAlign w:val="bottom"/>
            <w:tcBorders>
              <w:top w:val="single" w:sz="8" w:color="auto"/>
            </w:tcBorders>
          </w:tcPr>
          <w:p>
            <w:pPr>
              <w:spacing w:after="0"/>
              <w:rPr>
                <w:sz w:val="24"/>
                <w:szCs w:val="24"/>
                <w:color w:val="auto"/>
              </w:rPr>
            </w:pPr>
          </w:p>
        </w:tc>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164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Merger</w:t>
            </w:r>
          </w:p>
        </w:tc>
      </w:tr>
      <w:tr>
        <w:trPr>
          <w:trHeight w:val="272"/>
        </w:trPr>
        <w:tc>
          <w:tcPr>
            <w:tcW w:w="46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64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5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Reserve</w:t>
            </w:r>
          </w:p>
        </w:tc>
      </w:tr>
      <w:tr>
        <w:trPr>
          <w:trHeight w:val="237"/>
        </w:trPr>
        <w:tc>
          <w:tcPr>
            <w:tcW w:w="4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0"/>
                <w:szCs w:val="20"/>
                <w:color w:val="auto"/>
              </w:rPr>
            </w:pPr>
          </w:p>
        </w:tc>
        <w:tc>
          <w:tcPr>
            <w:tcW w:w="16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100" w:type="dxa"/>
            <w:vAlign w:val="bottom"/>
          </w:tcPr>
          <w:p>
            <w:pPr>
              <w:spacing w:after="0"/>
              <w:rPr>
                <w:sz w:val="20"/>
                <w:szCs w:val="20"/>
                <w:color w:val="auto"/>
              </w:rPr>
            </w:pPr>
          </w:p>
        </w:tc>
      </w:tr>
      <w:tr>
        <w:trPr>
          <w:trHeight w:val="216"/>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1 January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102,272,614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in lieu of fees/compensation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450,000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337,501</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Stock - ATM</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27,629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2023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103,087,744</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118,697</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in lieu of fees/compensation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4,896,508</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122,849</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Stock – ATM,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108,659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Stock - fundraising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5,263,158</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Warrants - fundraising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Treasury Shares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(2,016,301)</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31 December 2024</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111,462,617</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23,105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118,697</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in lieu of fees/compensation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1,200,000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137,500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31,578</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Stock – ATM,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7,675,706</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 - fundraising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31 December 2025</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120,507,401</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118,697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Ordinary Shares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Ordinary shares have a par value of $0.001. They entitle the holder to participate in dividends, and to share in the proceeds of winding up the Company in proportion to the number of and amounts paid on the shares held. On a show of hands every holder of ordinary shares present at a meeting in person or by proxy is entitled to one vote, and upon a poll each share is entitled to one vote. The Company has 120,507,401 shares in issue and no shares in treasury (2024: 111,462,617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13. SHARE BASED 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Group and Company Options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share-based payment arrangements to remunerate directors and key employees in the form of a share option scheme. The exercise price of the option is normally equal to the market price of an ordinary share in the Company at the date of grant. The Company is currently operating two plans (Tiziana Life Sciences PLC) Share Option Plan which is closed for any new issuances and the Tiziana Life Sciences Ltd 2021 Equity Incentive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Tiziana Life Sciences PLC Share Option Plan</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3"/>
        </w:trPr>
        <w:tc>
          <w:tcPr>
            <w:tcW w:w="328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9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(Restated)</w:t>
            </w: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45"/>
        </w:trPr>
        <w:tc>
          <w:tcPr>
            <w:tcW w:w="3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(cents)</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(cents)</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(cents)</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3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1 January</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69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4,516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37"/>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Exercised</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3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at 31 December</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74</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4,516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00" w:type="dxa"/>
            <w:vAlign w:val="bottom"/>
          </w:tcPr>
          <w:p>
            <w:pPr>
              <w:spacing w:after="0"/>
              <w:rPr>
                <w:sz w:val="20"/>
                <w:szCs w:val="20"/>
                <w:color w:val="auto"/>
              </w:rPr>
            </w:pPr>
          </w:p>
        </w:tc>
      </w:tr>
      <w:tr>
        <w:trPr>
          <w:trHeight w:val="216"/>
        </w:trPr>
        <w:tc>
          <w:tcPr>
            <w:tcW w:w="3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31 December</w:t>
            </w:r>
          </w:p>
        </w:tc>
        <w:tc>
          <w:tcPr>
            <w:tcW w:w="940" w:type="dxa"/>
            <w:vAlign w:val="bottom"/>
            <w:gridSpan w:val="2"/>
          </w:tcPr>
          <w:p>
            <w:pPr>
              <w:spacing w:after="0"/>
              <w:rPr>
                <w:sz w:val="19"/>
                <w:szCs w:val="19"/>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29</w:t>
            </w: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9"/>
                <w:szCs w:val="19"/>
                <w:color w:val="auto"/>
              </w:rPr>
            </w:pPr>
          </w:p>
        </w:tc>
      </w:tr>
      <w:tr>
        <w:trPr>
          <w:trHeight w:val="27"/>
        </w:trPr>
        <w:tc>
          <w:tcPr>
            <w:tcW w:w="3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options were exercised during 2025, 2024 or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outstanding fair value charge of the share option instruments is deemed to be approximately $1,418k (2024: $1,893k), 2023: $2,602k).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Tiziana Life Sciences PLC Share Option Plan, the total expense recognized for the year ending 31 December 2025 arising from share – based payment transactions under the Tiziana Life Sciences PLC Share Option Plan is $597k of which $0k relates to forfeitures during the year (2024 $681k, 2023: $703k).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 options outstanding at the end of the year have the following expiry dates and exercise prices: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 at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31 December</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2024 and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(’000)</w:t>
            </w:r>
          </w:p>
        </w:tc>
        <w:tc>
          <w:tcPr>
            <w:tcW w:w="0" w:type="dxa"/>
            <w:vAlign w:val="bottom"/>
          </w:tcPr>
          <w:p>
            <w:pPr>
              <w:spacing w:after="0"/>
              <w:rPr>
                <w:sz w:val="1"/>
                <w:szCs w:val="1"/>
                <w:color w:val="auto"/>
              </w:rPr>
            </w:pPr>
          </w:p>
        </w:tc>
      </w:tr>
      <w:tr>
        <w:trPr>
          <w:trHeight w:val="216"/>
        </w:trPr>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30</w:t>
            </w:r>
          </w:p>
        </w:tc>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2018</w:t>
            </w:r>
          </w:p>
        </w:tc>
        <w:tc>
          <w:tcPr>
            <w:tcW w:w="3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 April 2028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1.10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May 2020</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 May 2028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0.47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3,416</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2020</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 July 2030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6"/>
        </w:trPr>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25</w:t>
            </w:r>
          </w:p>
        </w:tc>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August 2020</w:t>
            </w:r>
          </w:p>
        </w:tc>
        <w:tc>
          <w:tcPr>
            <w:tcW w:w="39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24 August 2030</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1.98</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4,516</w:t>
            </w:r>
          </w:p>
        </w:tc>
        <w:tc>
          <w:tcPr>
            <w:tcW w:w="0" w:type="dxa"/>
            <w:vAlign w:val="bottom"/>
          </w:tcPr>
          <w:p>
            <w:pPr>
              <w:spacing w:after="0"/>
              <w:rPr>
                <w:sz w:val="1"/>
                <w:szCs w:val="1"/>
                <w:color w:val="auto"/>
              </w:rPr>
            </w:pPr>
          </w:p>
        </w:tc>
      </w:tr>
      <w:tr>
        <w:trPr>
          <w:trHeight w:val="21"/>
        </w:trPr>
        <w:tc>
          <w:tcPr>
            <w:tcW w:w="2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bottom w:val="single" w:sz="8" w:color="CCEEFF"/>
            </w:tcBorders>
            <w:gridSpan w:val="3"/>
            <w:vMerge w:val="restart"/>
          </w:tcPr>
          <w:p>
            <w:pPr>
              <w:ind w:left="2160"/>
              <w:spacing w:after="0"/>
              <w:rPr>
                <w:sz w:val="20"/>
                <w:szCs w:val="20"/>
                <w:color w:val="auto"/>
              </w:rPr>
            </w:pPr>
            <w:r>
              <w:rPr>
                <w:rFonts w:ascii="Times New Roman" w:cs="Times New Roman" w:eastAsia="Times New Roman" w:hAnsi="Times New Roman"/>
                <w:sz w:val="18"/>
                <w:szCs w:val="18"/>
                <w:color w:val="auto"/>
              </w:rPr>
              <w:t>F-20</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Tiziana Life Sciences Ltd Share Option Plan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3"/>
        </w:trPr>
        <w:tc>
          <w:tcPr>
            <w:tcW w:w="342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540" w:type="dxa"/>
            <w:vAlign w:val="bottom"/>
            <w:gridSpan w:val="3"/>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Options</w:t>
            </w:r>
          </w:p>
        </w:tc>
      </w:tr>
      <w:tr>
        <w:trPr>
          <w:trHeight w:val="245"/>
        </w:trPr>
        <w:tc>
          <w:tcPr>
            <w:tcW w:w="34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(cents)</w:t>
            </w: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(cents)</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(’000)</w:t>
            </w: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1 January</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(1,103)</w:t>
            </w: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4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31 December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00" w:type="dxa"/>
            <w:vAlign w:val="bottom"/>
          </w:tcPr>
          <w:p>
            <w:pPr>
              <w:spacing w:after="0"/>
              <w:rPr>
                <w:sz w:val="20"/>
                <w:szCs w:val="20"/>
                <w:color w:val="auto"/>
              </w:rPr>
            </w:pPr>
          </w:p>
        </w:tc>
      </w:tr>
      <w:tr>
        <w:trPr>
          <w:trHeight w:val="216"/>
        </w:trPr>
        <w:tc>
          <w:tcPr>
            <w:tcW w:w="34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31 December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19"/>
                <w:szCs w:val="19"/>
                <w:color w:val="auto"/>
              </w:rPr>
            </w:pPr>
          </w:p>
        </w:tc>
      </w:tr>
      <w:tr>
        <w:trPr>
          <w:trHeight w:val="27"/>
        </w:trPr>
        <w:tc>
          <w:tcPr>
            <w:tcW w:w="34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53"/>
        </w:trPr>
        <w:tc>
          <w:tcPr>
            <w:tcW w:w="3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Options</w:t>
            </w:r>
          </w:p>
        </w:tc>
      </w:tr>
      <w:tr>
        <w:trPr>
          <w:trHeight w:val="245"/>
        </w:trPr>
        <w:tc>
          <w:tcPr>
            <w:tcW w:w="34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(cents)</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(’000)</w:t>
            </w: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1 January</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34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31 December</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Pr>
          <w:p>
            <w:pPr>
              <w:spacing w:after="0"/>
              <w:rPr>
                <w:sz w:val="20"/>
                <w:szCs w:val="20"/>
                <w:color w:val="auto"/>
              </w:rPr>
            </w:pPr>
          </w:p>
        </w:tc>
      </w:tr>
      <w:tr>
        <w:trPr>
          <w:trHeight w:val="216"/>
        </w:trPr>
        <w:tc>
          <w:tcPr>
            <w:tcW w:w="34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31 December</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7"/>
        </w:trPr>
        <w:tc>
          <w:tcPr>
            <w:tcW w:w="34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125k options exercised in 2025 and 123k options exercised in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outstanding fair value charge of the share option instruments is deemed to be approximately $792k. (2024: $653k, 2023: $974k).</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Tiziana Life Sciences Ltd 2021 Equity Incentive Plan, the total expenses recognized for the year ending 31 December 2025 arising from share - based payment transactions are $653k, not including a charge of $262k for forfeitures during the year. (2024: $962k, 2023: $1,019k).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05 Sep</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28 March</w:t>
            </w:r>
          </w:p>
        </w:tc>
        <w:tc>
          <w:tcPr>
            <w:tcW w:w="0" w:type="dxa"/>
            <w:vAlign w:val="bottom"/>
          </w:tcPr>
          <w:p>
            <w:pPr>
              <w:spacing w:after="0"/>
              <w:rPr>
                <w:sz w:val="1"/>
                <w:szCs w:val="1"/>
                <w:color w:val="auto"/>
              </w:rPr>
            </w:pPr>
          </w:p>
        </w:tc>
      </w:tr>
      <w:tr>
        <w:trPr>
          <w:trHeight w:val="245"/>
        </w:trPr>
        <w:tc>
          <w:tcPr>
            <w:tcW w:w="16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date share price</w:t>
            </w:r>
          </w:p>
        </w:tc>
        <w:tc>
          <w:tcPr>
            <w:tcW w:w="1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share price</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94.53%</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life</w:t>
            </w:r>
          </w:p>
        </w:tc>
        <w:tc>
          <w:tcPr>
            <w:tcW w:w="1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 years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 price</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per share option</w:t>
            </w:r>
          </w:p>
        </w:tc>
        <w:tc>
          <w:tcPr>
            <w:tcW w:w="1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0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Share options outstanding at the end of the year have the following expiry dates and exercise prices: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 Options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at 31</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(’000)</w:t>
            </w:r>
          </w:p>
        </w:tc>
        <w:tc>
          <w:tcPr>
            <w:tcW w:w="0" w:type="dxa"/>
            <w:vAlign w:val="bottom"/>
          </w:tcPr>
          <w:p>
            <w:pPr>
              <w:spacing w:after="0"/>
              <w:rPr>
                <w:sz w:val="1"/>
                <w:szCs w:val="1"/>
                <w:color w:val="auto"/>
              </w:rPr>
            </w:pPr>
          </w:p>
        </w:tc>
      </w:tr>
      <w:tr>
        <w:trPr>
          <w:trHeight w:val="198"/>
        </w:trPr>
        <w:tc>
          <w:tcPr>
            <w:tcW w:w="4340" w:type="dxa"/>
            <w:vAlign w:val="bottom"/>
            <w:tcBorders>
              <w:top w:val="single" w:sz="8" w:color="auto"/>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04 November 2022</w:t>
            </w:r>
          </w:p>
        </w:tc>
        <w:tc>
          <w:tcPr>
            <w:tcW w:w="16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04 November</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 March 2023</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14 March 2033</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13 March 2024</w:t>
            </w:r>
          </w:p>
        </w:tc>
        <w:tc>
          <w:tcPr>
            <w:tcW w:w="1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13 March 2034</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03 May 2024</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03 May 2034</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14 August 2024</w:t>
            </w:r>
          </w:p>
        </w:tc>
        <w:tc>
          <w:tcPr>
            <w:tcW w:w="1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14 August 2034</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03 October 2024</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03 October 2034</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 March 2025</w:t>
            </w:r>
          </w:p>
        </w:tc>
        <w:tc>
          <w:tcPr>
            <w:tcW w:w="1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28 March 2035</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198"/>
        </w:trPr>
        <w:tc>
          <w:tcPr>
            <w:tcW w:w="4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05 September 2025</w:t>
            </w: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3"/>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05 September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660" w:type="dxa"/>
            <w:vAlign w:val="bottom"/>
            <w:tcBorders>
              <w:bottom w:val="single" w:sz="8" w:color="CCEEFF"/>
            </w:tcBorders>
          </w:tcPr>
          <w:p>
            <w:pPr>
              <w:spacing w:after="0"/>
              <w:rPr>
                <w:sz w:val="22"/>
                <w:szCs w:val="22"/>
                <w:color w:val="auto"/>
              </w:rPr>
            </w:pPr>
          </w:p>
        </w:tc>
        <w:tc>
          <w:tcPr>
            <w:tcW w:w="268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2035</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5,212</w:t>
            </w:r>
          </w:p>
        </w:tc>
        <w:tc>
          <w:tcPr>
            <w:tcW w:w="0" w:type="dxa"/>
            <w:vAlign w:val="bottom"/>
          </w:tcPr>
          <w:p>
            <w:pPr>
              <w:spacing w:after="0"/>
              <w:rPr>
                <w:sz w:val="1"/>
                <w:szCs w:val="1"/>
                <w:color w:val="auto"/>
              </w:rPr>
            </w:pPr>
          </w:p>
        </w:tc>
      </w:tr>
      <w:tr>
        <w:trPr>
          <w:trHeight w:val="21"/>
        </w:trPr>
        <w:tc>
          <w:tcPr>
            <w:tcW w:w="43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Restricted Stock Unit</w:t>
            </w:r>
          </w:p>
        </w:tc>
        <w:tc>
          <w:tcPr>
            <w:tcW w:w="1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1"/>
        </w:trPr>
        <w:tc>
          <w:tcPr>
            <w:tcW w:w="434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66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4140" w:type="dxa"/>
            <w:vAlign w:val="bottom"/>
            <w:gridSpan w:val="6"/>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4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4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4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45"/>
        </w:trPr>
        <w:tc>
          <w:tcPr>
            <w:tcW w:w="16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(cents)</w:t>
            </w:r>
          </w:p>
        </w:tc>
        <w:tc>
          <w:tcPr>
            <w:tcW w:w="40" w:type="dxa"/>
            <w:vAlign w:val="bottom"/>
          </w:tcPr>
          <w:p>
            <w:pPr>
              <w:spacing w:after="0"/>
              <w:rPr>
                <w:sz w:val="21"/>
                <w:szCs w:val="21"/>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(cents)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(’000)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1 January</w:t>
            </w:r>
          </w:p>
        </w:tc>
        <w:tc>
          <w:tcPr>
            <w:tcW w:w="2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2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37"/>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31 December</w:t>
            </w:r>
          </w:p>
        </w:tc>
        <w:tc>
          <w:tcPr>
            <w:tcW w:w="2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16"/>
        </w:trPr>
        <w:tc>
          <w:tcPr>
            <w:tcW w:w="16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31 December</w:t>
            </w:r>
          </w:p>
        </w:tc>
        <w:tc>
          <w:tcPr>
            <w:tcW w:w="16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55"/>
        </w:trPr>
        <w:tc>
          <w:tcPr>
            <w:tcW w:w="1660" w:type="dxa"/>
            <w:vAlign w:val="bottom"/>
            <w:tcBorders>
              <w:top w:val="single" w:sz="8" w:color="CCEEFF"/>
              <w:bottom w:val="single" w:sz="8" w:color="auto"/>
            </w:tcBorders>
          </w:tcPr>
          <w:p>
            <w:pPr>
              <w:spacing w:after="0"/>
              <w:rPr>
                <w:sz w:val="24"/>
                <w:szCs w:val="24"/>
                <w:color w:val="auto"/>
              </w:rPr>
            </w:pPr>
          </w:p>
        </w:tc>
        <w:tc>
          <w:tcPr>
            <w:tcW w:w="2680" w:type="dxa"/>
            <w:vAlign w:val="bottom"/>
            <w:tcBorders>
              <w:top w:val="single" w:sz="8" w:color="CCEEFF"/>
              <w:bottom w:val="single" w:sz="8" w:color="auto"/>
            </w:tcBorders>
          </w:tcPr>
          <w:p>
            <w:pPr>
              <w:spacing w:after="0"/>
              <w:rPr>
                <w:sz w:val="24"/>
                <w:szCs w:val="24"/>
                <w:color w:val="auto"/>
              </w:rPr>
            </w:pPr>
          </w:p>
        </w:tc>
        <w:tc>
          <w:tcPr>
            <w:tcW w:w="1640" w:type="dxa"/>
            <w:vAlign w:val="bottom"/>
            <w:tcBorders>
              <w:top w:val="single" w:sz="8" w:color="CCEEFF"/>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F-22</w:t>
            </w: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gridSpan w:val="2"/>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18"/>
          <w:szCs w:val="18"/>
          <w:color w:val="auto"/>
        </w:rPr>
        <w:t>Restricted Stock Units outstanding at the end of the year have the following expiry dates and exercise prices: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Restricted</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at</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31 December</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(’000)</w:t>
            </w:r>
          </w:p>
        </w:tc>
      </w:tr>
      <w:tr>
        <w:trPr>
          <w:trHeight w:val="249"/>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08 August 2024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 April 2034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4,200</w:t>
            </w:r>
          </w:p>
        </w:tc>
        <w:tc>
          <w:tcPr>
            <w:tcW w:w="80" w:type="dxa"/>
            <w:vAlign w:val="bottom"/>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restricted stocks exercised in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outstanding fair value charge of the restricted stock instruments is deemed to be approximately $1,720k.- (2024: $3,668k).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expenses recognized for the year ending 31 December 2025 arising from share - based payment transactions are $1,948k.-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warrants issued during the year to December 31, 2025, the Directors have estimated the fair value of the warrants using the Black-Scholes valuation model and assumptions below. No warrants were issued in 2023 or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 November</w:t>
            </w:r>
          </w:p>
        </w:tc>
      </w:tr>
      <w:tr>
        <w:trPr>
          <w:trHeight w:val="245"/>
        </w:trPr>
        <w:tc>
          <w:tcPr>
            <w:tcW w:w="7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date share price</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CEEFF"/>
          </w:tcPr>
          <w:p>
            <w:pPr>
              <w:spacing w:after="0"/>
              <w:rPr>
                <w:sz w:val="18"/>
                <w:szCs w:val="18"/>
                <w:color w:val="auto"/>
              </w:rPr>
            </w:pP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share price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0.42%</w:t>
            </w:r>
          </w:p>
        </w:tc>
      </w:tr>
      <w:tr>
        <w:trPr>
          <w:trHeight w:val="234"/>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110.8%</w:t>
            </w:r>
          </w:p>
        </w:tc>
      </w:tr>
      <w:tr>
        <w:trPr>
          <w:trHeight w:val="391"/>
        </w:trPr>
        <w:tc>
          <w:tcPr>
            <w:tcW w:w="8140" w:type="dxa"/>
            <w:vAlign w:val="bottom"/>
            <w:gridSpan w:val="2"/>
          </w:tcPr>
          <w:p>
            <w:pPr>
              <w:ind w:left="77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8140" w:type="dxa"/>
            <w:vAlign w:val="bottom"/>
            <w:gridSpan w:val="2"/>
          </w:tcPr>
          <w:p>
            <w:pPr>
              <w:ind w:left="7720"/>
              <w:spacing w:after="0"/>
              <w:rPr>
                <w:sz w:val="20"/>
                <w:szCs w:val="20"/>
                <w:color w:val="auto"/>
              </w:rPr>
            </w:pPr>
            <w:r>
              <w:rPr>
                <w:rFonts w:ascii="Times New Roman" w:cs="Times New Roman" w:eastAsia="Times New Roman" w:hAnsi="Times New Roman"/>
                <w:sz w:val="18"/>
                <w:szCs w:val="18"/>
                <w:b w:val="1"/>
                <w:bCs w:val="1"/>
                <w:color w:val="auto"/>
              </w:rPr>
              <w:t>$000</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1 January</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FV Charge</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(438)</w:t>
            </w:r>
          </w:p>
        </w:tc>
      </w:tr>
      <w:tr>
        <w:trPr>
          <w:trHeight w:val="237"/>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Expired</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31 December</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Approximately $61k of share-based payment charges are included in the consolidated balance sheet, for the year ended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$25k, 2023: $0k).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14. RESERVES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share-based payment reserve for warrants represents the cost to issue warrants in the future based on their grant date fair value.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share-based payment reserve for options represents the cost to issue share-based compensation, primarily share options, based on their grant date fair value.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Retained earnings represent the cumulative profits/(losses) of the entity which have not been distributed to shareholders. This reserve has been credited as part of the capital reduction exercise described below.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translation reserve represents the unrealized gains or losses from the foreign currency translation of Companies within the Group.</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shares to be issued reserve represents the equity shares that are to be issued to the Chairman in lieu of his bonus and additional salary for his role as acting CEO for the year ending December 31, 2023.</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reserve arises on consolidation as a result of the share for share exchange transaction that took place this year described in note 13. It represents the difference between the share capital issued and the aggregate carrying value of assets and liabilities and other reserves of the previous parent on the merger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Restricted Stock Unit reserves represent the restricted stock unit shares that have been issued to the CEO as part of his compensation. The restricted stock units vest over a period of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main risks arising from the Group’s financial instruments are liquidity risk, foreign currency risk and credit risk. The directors regularly review and agree policies for managing each of these risks which are summarized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Market risk encompasses three types of risk, being foreign currency exchange risk, price risk and fair value interest rate risk. The Group policies for managing fair value interest rate risk are considered along with those for managing cash flow interest rate risk and are set out in the subsection entitled “interest rate risk” below. The Directors do not consider the Group’s exposure to price risk to be significant. The Group’s risk management is coordinated by the Directors and focuses on actively securing the Group’s short to medium term cash flows by minimizing the exposure to financial markets. The Group does not engage in the trading of financial assets for speculative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Credit risk is managed on a Group basis. Credit risk arises principally from cash and cash equivalents and deposits with banks and financial institutions as well as credit exposure to customers including committed transactions and outstanding receivables. The Group reviews its banking arrangements carefully to minimize such risks and currently has no customers and therefore this risk is viewed as minimal. Management monitor loans between members of the Group as part of their internal reporting and assesses outstanding receivables for ability to be repaid.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Group’s policy is to regularly monitor current and expected liquidity requirements to ensure that it maintains sufficient reserves of cash to meet its liquidity requirements in the short and long term. The Group ordinarily finances its activities through cash generated from private and public offerings of equity and debt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maturity profile of the Group’s financial liabilities based on contractual undiscounted payments: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3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3 to 12</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21"/>
                <w:szCs w:val="21"/>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3 months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payables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3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3 to 12</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21"/>
                <w:szCs w:val="21"/>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3 months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payables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has limited exposure to interest-rate risk arising from its bank deposits. These deposit accounts are held at variable interest rates based on Bank of America base rate.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Directors do not consider the impact of possible interest rate changes based on current market conditions to be material to the net result for the year or the equity position as of year-end for either the year ended 31 December 2025 or 31 December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 operates internationally although the majority of its operations are based in the United Kingdom and the United States, and the majority of assets and liabilities are denominated in US Dollars, with a small amount denominated in Pound Sterling. It therefore is exposed to some foreign exchange risk arising from exposure to various currencies primarily the Pound Sterling. The Group monitors currency exchange rates and makes judgments as to whether to enter into currency hedging contracts. Currently no such hedging contracts are in place.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i w:val="1"/>
          <w:iCs w:val="1"/>
          <w:color w:val="auto"/>
        </w:rPr>
        <w:t>Sensitivity analysis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reasonably possible strengthening (weakening) of the US dollar or Sterling against all other currencies at 31 December 2025 would have affected the measurement of the financial instruments denominated in a foreign currency and affected equity and profit and loss by the amounts shown below. This analysis assumes that all other variables remain constant.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Profit or loss and equity</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3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Strengthening</w:t>
            </w: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Weakening</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USD (7% movement)</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CAPITAL RISK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purpose of the Group’s capital management, capital includes called up share capital, share premium, share – based payments for options, share - based payments for warrants, convertible loan note reserve, and all other equity reserves attributable to the equity holders of the parent as reflected in the consolidated statement of financial position.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objectives when managing capital are to safeguard the Company’s ability to continue as a going concern and to maximize shareholder value through the optimization of the equity balance.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adjusts its capital structure in light of changes in economic conditions and expected business demands on capital. The Group may also return capital to shareholders or issue additional shares.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17. TRADE AND OTHER PAYABLES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5,580</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Accruals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3,287</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10,460</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18. DEFERRED INCOME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Deferred income is recognized as earned income over the duration of the project for which the grant was received. It is recorded as a liability on the balance sheet until the project commences. The timing of the revenue recognition is based on the completion of the project not the timing of the cash payments.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8"/>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19. INVESTMENT IN RELATED PARTY</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45"/>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Accustem Sciences Inc</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shd w:val="clear" w:color="auto" w:fill="CCEEFF"/>
          </w:tcPr>
          <w:p>
            <w:pPr>
              <w:spacing w:after="0"/>
              <w:rPr>
                <w:sz w:val="18"/>
                <w:szCs w:val="18"/>
                <w:color w:val="auto"/>
              </w:rPr>
            </w:pP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Movement in fair value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r>
      <w:tr>
        <w:trPr>
          <w:trHeight w:val="23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shares issued</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0"/>
        </w:trPr>
        <w:tc>
          <w:tcPr>
            <w:tcW w:w="8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1,427</w:t>
            </w: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received an additional 416k shares at $0.4 per share in December 2025. These FV gains have been measured using Level 1 per IFRS 13 fair value hierarchy. Accustem Sciences Inc is listed on the OTC markets and is run by a separate management team which is independent of the Tiziana management team. Tiziana is therefore not able to assert significant influence over Accustem Sciences Inc.</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Okyo Pharma Ltd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3,717</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shares issued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shares sold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Movement in fair value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(1,522)</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2,990</w:t>
            </w: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Group converted the loan into 2.1m shares of Okyo Pharma Ltd. on October 23, 2023. The group received an additional 500k shares in lieu of interest on July 14, 2024, which is a total 8.86% ownership. The group sold 1,659k shares on 23 May 2025 and 450k shares on 24 July 2025, which is a total of 1.24% ownership. The share price of Okyo Pharma Ltd as of December 31, 2025, was $2.07, which has resulted in the recognition of a fair value gain of $1,091k. This has been measured using the Level 1 per IFRS 13 fair value hierarchy. Okyo Pharma Ltd is listed on the NASDAQ stock exchange and is run by a separate management team which is independent of the Tiziana management team. Tiziana is therefore not able to assert significant influence over Okyo Pharma Ltd.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TREASURY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didn’t acquire any of its own shares in 2025. The company acquired 51,504 and 281,253 of its own shares through purchases on the NASDAQ stock exchange during the years ended December 31, 2024, and December 31, 2023, respectively. The amount paid to acquire the shares totaled $51k and $254k, respectively, and the shares were held as “treasury shares”. All shares issued by the Company are fully paid. The treasury shares were cancelled in December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21. RELATED PARTY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ultimate controlling party of the Group is Planwise Group Ltd.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Actavia Life Sciences Inc. (Formerly Rasna Therapeutics Inc.) is a related party as the entity is controlled by a person that has significant influence over the Group. Actavia is also party to a Shared Services agreement with Tiziana whereby Actavia is charged for shared services such as the payroll and rent. During 2022, Tiziana extended a loan to Actavia for $75,000 at an interest rate of 16% per annum. There were no additional loans to Actavia in 2023 or 2024. As of December 31, 2025, $567k (2024: $531k, 2023: $416k) was owed to Tiziana Life Sciences Ltd in respect of the loan and shared services agreement. The total charge under the shared services agreement in the year ending 31 December 2025 was $0k (2024: $1k, 2023: $6k). Tiziana has determined that the probability of recoverability is low, therefore the amount owed has been fully impaired in the year ending 31 December 2025.</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above, on April 16, 2020, Tiziana also acquired all of the intellectual property relating to a nanoparticle-based formulation of Actinomycin D (Act D; a.k.a. Dactinomycin), from Rasna to expand its pipeline for a consideration of an initial $120k upfront payment and milestone payments of up to an additional aggregate $630k. There were no milestone payments due in the year ending 31 December 2025 (2024: $0k, 2023:$0k).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OKYO Pharma Ltd is a related party as the entity is controlled by a person that has significant influence over the Group. OKYO is also party to a Shared Services agreement with Tiziana whereby OKYO is charged for shared services such as the payroll and rent. As of December 31, 2025 $348k (2024: $744k, 2023: $398k) was owed to Tiziana Life Sciences Ltd in respect of this agreement. The total charged under the shared services agreement in the year ending 31 December 2025 was $140k (2024: $406k, 2023: $199k).</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2022, the Group issued a short-term credit facility to OKYO Pharma Ltd, a related party, for $2,000k to support short term liquidity. The loan was available for a period of 6 months upon first draw-down and carries an interest rate of 16% per annum, with additional default interest of 4% if the loan is not repaid after the 6-month period. In October 2023 the loan was converted to an investment in OKYO with 20% interest. The principal of $2,000k plus accrued interest of $1,150k were converted into 2,100,000 Ordinary Shares, with no par value, of OKYO Pharma Ltd. On July 15, 2024, accrued interest of $402k was converted into 500,000 Ordinary Shares with no par value, of Okyo Pharma Ltd. On May 23, 2025, 1,658,560 Ordinary Shares of Okyo Pharma Ltd. were sold at $1.75 per share. On July 24, 2025, 450,000 Ordinary Shares of Okyo Pharma Ltd. were sold at $2.50 per share.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Accustem Sciences Inc is a related party as the entity is controlled by a person that has significant influence over the Group. Accustem is also party to a Shared Services agreement with Tiziana whereby the Company is charged for shared services such as payroll and rent. As of December 31 2025, $3,636k (2024:$1,037k, 2023:$1,324k) was owed to Tiziana Life Sciences Ltd. The total charged under the shared services agreement in the year ending 31 December 2025 was $15k (2024: $13k, 2023:$18k).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LEASES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leases are accounted for by recognizing a right-of-use asset and a lease liability except for:</w:t>
      </w:r>
    </w:p>
    <w:p>
      <w:pPr>
        <w:spacing w:after="0" w:line="225" w:lineRule="exact"/>
        <w:rPr>
          <w:sz w:val="20"/>
          <w:szCs w:val="20"/>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of low value assets;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with a duration of 12 months or less.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 has leases for its offices. Each lease is reflected on the balance sheet as a right-of-use asset and a lease liability. The Group does not have leases of low value assets. Variable lease payments which do not depend on an index or a rate (such as lease payments based on a percentage of Group sales) are excluded from the initial measurement of the lease liability and asset. The Group classifies its right-of-use assets in a consistent manner to its property, plant and equipment.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2" w:name="page153"/>
    <w:bookmarkEnd w:id="152"/>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leases over office buildings and factory premises the Group must keep those properties in a good state of repair and return the properties in their original condition at the end of the lease.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course of 2025, the Group entered into a new lease agreement for its Boston office. Any leases that have a term shorter than 12 months the Group has applied the exemption allowed by paragraph 5a in IFRS16 in respect of short – term leases.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31 Dec</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31 Dec</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Boston Office Lease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Free Period Adjustment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31 Dec</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31 Dec</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Boston Office Lease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Free Period Adjustment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Lease Payment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payments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Lease liabilities are presented in the consolidated statement of financial; position as follows: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31 Dec</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31 Dec</w:t>
            </w: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lease liabilities are secured by the related underlying assets. Future minimum lease payments as of 31 December 2025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8"/>
                <w:szCs w:val="18"/>
                <w:b w:val="1"/>
                <w:bCs w:val="1"/>
                <w:color w:val="auto"/>
              </w:rPr>
              <w:t>Minimum lease payment due</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380" w:type="dxa"/>
            <w:vAlign w:val="bottom"/>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Within 1</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Over</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1-2 years</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2-5 years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5 years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payments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Finance Charges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Present Values</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F-29</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23. FINANCIAL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Group’s main financial commitments relate to the contractual payments in respect of its licensing agreements. Due to the uncertain nature of scientific research and development and the length of time required to reach commercialisation of the products of this research and development, pre-clinical, clinical and commercial milestone obligations are not detailed until there is a reasonable certainty that the obligation will become payable.</w:t>
      </w:r>
    </w:p>
    <w:p>
      <w:pPr>
        <w:spacing w:after="0" w:line="176" w:lineRule="exact"/>
        <w:rPr>
          <w:sz w:val="20"/>
          <w:szCs w:val="20"/>
          <w:color w:val="auto"/>
        </w:rPr>
      </w:pPr>
    </w:p>
    <w:p>
      <w:pPr>
        <w:jc w:val="both"/>
        <w:ind w:left="980" w:hanging="324"/>
        <w:spacing w:after="0" w:line="266"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Foralumab project – Future payments relate to the achievement of clinical milestones or the payment of royalties. Diligence obligations are payable to BMS/Medarex should the project continue to commercialisation. $750,000 has been recorded in respect of diligence obligations due to Medarex for 2024 and $750,000 for 2025.</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obligated to pay BMS the following additional amounts in respect of the first licensed product or service which achieves the stated development milestones:</w:t>
      </w:r>
    </w:p>
    <w:p>
      <w:pPr>
        <w:spacing w:after="0" w:line="162" w:lineRule="exact"/>
        <w:rPr>
          <w:sz w:val="20"/>
          <w:szCs w:val="20"/>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upon initiation of the first Phase III clinical trial, this is currently being negotiated with BMS.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upon filing of the first BLA, or equivalent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upon approval of the first BLA, or equivalent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obligated to pay Brighams Womens Hospital the following hospital milestone payments:</w:t>
      </w:r>
    </w:p>
    <w:p>
      <w:pPr>
        <w:spacing w:after="0" w:line="225" w:lineRule="exact"/>
        <w:rPr>
          <w:sz w:val="20"/>
          <w:szCs w:val="20"/>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upon first patient enrollment into a Phase I human clinical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upon first patient enrollment into a Phase II human clinical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upon first patient enrollment into a Phase III human clinical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upon first commercial sale of a product</w:t>
      </w:r>
    </w:p>
    <w:p>
      <w:pPr>
        <w:spacing w:after="0" w:line="221" w:lineRule="exact"/>
        <w:rPr>
          <w:sz w:val="20"/>
          <w:szCs w:val="20"/>
          <w:color w:val="auto"/>
        </w:rPr>
      </w:pPr>
    </w:p>
    <w:p>
      <w:pPr>
        <w:jc w:val="both"/>
        <w:ind w:left="980" w:hanging="324"/>
        <w:spacing w:after="0" w:line="268"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 D - Tiziana will need to make milestone payments of up to </w:t>
      </w:r>
      <w:r>
        <w:rPr>
          <w:rFonts w:ascii="Times New Roman" w:cs="Times New Roman" w:eastAsia="Times New Roman" w:hAnsi="Times New Roman"/>
          <w:sz w:val="18"/>
          <w:szCs w:val="18"/>
          <w:b w:val="1"/>
          <w:bCs w:val="1"/>
          <w:color w:val="auto"/>
        </w:rPr>
        <w:t>$630k</w:t>
      </w:r>
      <w:r>
        <w:rPr>
          <w:rFonts w:ascii="Times New Roman" w:cs="Times New Roman" w:eastAsia="Times New Roman" w:hAnsi="Times New Roman"/>
          <w:sz w:val="18"/>
          <w:szCs w:val="18"/>
          <w:color w:val="auto"/>
        </w:rPr>
        <w:t xml:space="preserve"> depending on the issuance of a US patent from any US patent application in Transferred IP relating to nanoparticle formulations of Act D and upon the successful completion of a Phase II clinical efficacy trial.</w:t>
      </w:r>
    </w:p>
    <w:p>
      <w:pPr>
        <w:spacing w:after="0" w:line="17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from time to time is involved in legal proceedings, none of which have given rise to contingent liabilities. Contingencies arising in the ordinary course of business, for which no security has been given, are not expected to result in any material financial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2026 best efforts registered direct offering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15, 2026, the Company entered into securities purchase agreements with certain purchasers, including members of senior management and existing shareholders, in connection with a best efforts registered direct offering (the "January 2026 Offering") of 7,040,000 ordinary shares at a price of $1.25 per ordinary share. The January 2026 Offering was conducted without an underwriter or placement agent and closed on January 16, 2026. The gross proceeds to the Company from the January 2026 Offering were $8.8 million, and the net proceeds, after deducting estimated offering expenses of approximately $0.2 million payable by the Company, were approximately $8.6 million. Following the closing of the January 2026 Offering, the total number of ordinary shares outstanding was 127,259,131.</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purchasers in the January 2026 Offering included Ivor Elrifi, the Company's Chief Executive Officer, who purchased 2,400,000 ordinary shares, and Panetta Partners Ltd., an entity associated with Gabriele Cerrone, the Company's Executive Chairman, which purchased 1,600,000 ordinary shares. The Company intends to use the net proceeds from the January 2026 Offering to fund the completion of its Phase 2a clinical trial in non-active secondary progressive multiple sclerosis (na-SPMS) and its Phase 2a clinical trial in Multiple System Atrophy (MSA), including achieving topline data readouts in both trials, with the remainder applied to working capital and general corporate purposes.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every ordinary share subscribed in the January 2026 Offering, the purchaser received one warrant entitling the holder to subscribe for one new ordinary share at a price of $1.50 per share at any time up to and including July 16, 2026, the date on which the warrants expire. If all such warrants were exercised in full, the Company would receive additional gross proceeds of up to approximately $10.56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8200" w:type="dxa"/>
            <w:vAlign w:val="bottom"/>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Subsidiaries of Tiziana Life Sciences Ltd</w:t>
            </w:r>
          </w:p>
        </w:tc>
      </w:tr>
      <w:tr>
        <w:trPr>
          <w:trHeight w:val="439"/>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Legal Name of Subsidiary</w:t>
            </w:r>
          </w:p>
        </w:tc>
        <w:tc>
          <w:tcPr>
            <w:tcW w:w="24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Tiziana Life Sciences Ltd</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England &amp; Wales</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Tiziana Pharma Limited</w:t>
            </w:r>
          </w:p>
        </w:tc>
        <w:tc>
          <w:tcPr>
            <w:tcW w:w="248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England &amp; Wales</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Tiziana Therapeutics Inc.</w:t>
            </w:r>
          </w:p>
        </w:tc>
        <w:tc>
          <w:tcPr>
            <w:tcW w:w="248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Longevia Genomics S.r.l.</w:t>
            </w:r>
          </w:p>
        </w:tc>
        <w:tc>
          <w:tcPr>
            <w:tcW w:w="248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Italy</w:t>
            </w:r>
          </w:p>
        </w:tc>
      </w:tr>
    </w:tbl>
    <w:p>
      <w:pPr>
        <w:sectPr>
          <w:pgSz w:w="11900" w:h="16838" w:orient="portrait"/>
          <w:cols w:equalWidth="0" w:num="1">
            <w:col w:w="11240"/>
          </w:cols>
          <w:pgMar w:left="320" w:top="11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Ivor Elrifi, certify that:</w:t>
      </w:r>
    </w:p>
    <w:p>
      <w:pPr>
        <w:spacing w:after="0" w:line="225"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Tiziana Life Sciences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Ivor Elrifi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Ivor Elrifi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Keeren Shah, certify that:</w:t>
      </w:r>
    </w:p>
    <w:p>
      <w:pPr>
        <w:spacing w:after="0" w:line="225"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Tiziana Life Sciences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Keeren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Keeren Shah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Tiziana Life Sciences Ltd’s Annual Report on Form 20-F for the fiscal year ended December 31, 2025 (the “Report”) for the purpose of complying with Rule 13a-14(b) or Rule 15d-14(b) of the Securities Exchange Act of 1934 (the “Exchange Act”) and Section 1350 of Chapter 63 of Title 18 of the United States Code.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Ivor Elrifi, Chief Executive Officer of Tiziana Life Sciences Ltd, certifies that, to the best of his knowledge:</w:t>
      </w:r>
    </w:p>
    <w:p>
      <w:pPr>
        <w:spacing w:after="0" w:line="225"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Tiziana Life Sciences Ltd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Ivor Elrifi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Ivor Elrifi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Tiziana Life Sciences Ltd’s Annual Report on Form 20-F for the fiscal year ended December 31, 2025 (the “Report”) for the purpose of complying with Rule 13a-14(b) or Rule 15d-14(b) of the Securities Exchange Act of 1934 (the “Exchange Act”) and Section 1350 of Chapter 63 of Title 18 of the United States Code.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Keeren Shah, Chief Financial Officer of Tiziana Life Sciences Ltd, certifies that, to the best of her knowledge:</w:t>
      </w:r>
    </w:p>
    <w:p>
      <w:pPr>
        <w:spacing w:after="0" w:line="225"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Tiziana Life Sciences Ltd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Keeren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Keeren Shah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2"/>
          <w:szCs w:val="22"/>
          <w:b w:val="1"/>
          <w:bCs w:val="1"/>
          <w:color w:val="auto"/>
        </w:rPr>
        <w:t>Exhibit 15.1</w:t>
      </w:r>
    </w:p>
    <w:p>
      <w:pPr>
        <w:spacing w:after="0" w:line="21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 Tiziana Life Sciences Ltd: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into the registration statements No. 333-286064 on Form F-3 and No. 333-293620 on Form S-8 of our report dated May 1, 2026 with respect to the consolidated balance sheet as of December 31, 2025 and 2024 and the related consolidated statement of operations and comprehensive loss, cash flows and shareholders’ equity for each of the two years ended December 31, 2025, and the related notes, for Tiziana Life Sciences Ltd, which report appears in the December 31, 2025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577340" cy="402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157734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PKF Littlejohn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PKF Littlejohn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lvl w:ilvl="1">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1)"/>
      <w:numFmt w:val="decimal"/>
      <w:start w:val="1"/>
    </w:lvl>
  </w:abstractNum>
  <w:abstractNum w:abstractNumId="58">
    <w:nsid w:val="42C296BD"/>
    <w:multiLevelType w:val="hybridMultilevel"/>
    <w:lvl w:ilvl="0">
      <w:lvlJc w:val="left"/>
      <w:lvlText w:val="(%1)"/>
      <w:numFmt w:val="lowerLetter"/>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1)"/>
      <w:numFmt w:val="decimal"/>
      <w:start w:val="1"/>
    </w:lvl>
  </w:abstractNum>
  <w:abstractNum w:abstractNumId="68">
    <w:nsid w:val="11447B73"/>
    <w:multiLevelType w:val="hybridMultilevel"/>
    <w:lvl w:ilvl="0">
      <w:lvlJc w:val="left"/>
      <w:lvlText w:val="(%1)"/>
      <w:numFmt w:val="decimal"/>
      <w:start w:val="1"/>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1"/>
      <w:numFmt w:val="decimal"/>
      <w:start w:val="97"/>
    </w:lvl>
  </w:abstractNum>
  <w:abstractNum w:abstractNumId="71">
    <w:nsid w:val="8F2B15E"/>
    <w:multiLevelType w:val="hybridMultilevel"/>
    <w:lvl w:ilvl="0">
      <w:lvlJc w:val="left"/>
      <w:lvlText w:val="%1"/>
      <w:numFmt w:val="decimal"/>
      <w:start w:val="104"/>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1)"/>
      <w:numFmt w:val="lowerLetter"/>
      <w:start w:val="2"/>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1)"/>
      <w:numFmt w:val="lowerLetter"/>
      <w:start w:val="1"/>
    </w:lvl>
  </w:abstractNum>
  <w:abstractNum w:abstractNumId="79">
    <w:nsid w:val="7FFFCA11"/>
    <w:multiLevelType w:val="hybridMultilevel"/>
    <w:lvl w:ilvl="0">
      <w:lvlJc w:val="left"/>
      <w:lvlText w:val="(%1)"/>
      <w:numFmt w:val="lowerLetter"/>
      <w:start w:val="1"/>
    </w:lvl>
  </w:abstractNum>
  <w:abstractNum w:abstractNumId="80">
    <w:nsid w:val="1A27709E"/>
    <w:multiLevelType w:val="hybridMultilevel"/>
    <w:lvl w:ilvl="0">
      <w:lvlJc w:val="left"/>
      <w:lvlText w:val="%1."/>
      <w:numFmt w:val="decimal"/>
      <w:start w:val="23"/>
    </w:lvl>
    <w:lvl w:ilvl="1">
      <w:lvlJc w:val="left"/>
      <w:lvlText w:val="●"/>
      <w:numFmt w:val="bullet"/>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jpeg"/><Relationship Id="rId184" Type="http://schemas.openxmlformats.org/officeDocument/2006/relationships/hyperlink" Target="http://www.sec.gov/Archives/edgar/data/1723069/000121390021053952/ea149115ex3-1_tizianalife.htm" TargetMode="External"/><Relationship Id="rId185" Type="http://schemas.openxmlformats.org/officeDocument/2006/relationships/hyperlink" Target="http://www.sec.gov/Archives/edgar/data/1723069/000121390021053952/ea149115ex3-2_tizianalife.htm" TargetMode="External"/><Relationship Id="rId186" Type="http://schemas.openxmlformats.org/officeDocument/2006/relationships/hyperlink" Target="https://www.sec.gov/Archives/edgar/data/1723069/000121390024041808/ea020387201ex2-1_tiziana.htm" TargetMode="External"/><Relationship Id="rId187" Type="http://schemas.openxmlformats.org/officeDocument/2006/relationships/hyperlink" Target="http://www.sec.gov/Archives/edgar/data/1723069/000121390018011631/ff12018a1ex10-2_tiziana.htm" TargetMode="External"/><Relationship Id="rId188" Type="http://schemas.openxmlformats.org/officeDocument/2006/relationships/hyperlink" Target="http://www.sec.gov/Archives/edgar/data/1723069/000121390018011631/ff12018a1ex10-3_tiziana.htm" TargetMode="External"/><Relationship Id="rId189" Type="http://schemas.openxmlformats.org/officeDocument/2006/relationships/hyperlink" Target="https://www.sec.gov/Archives/edgar/data/1723069/000121390023032763/f20f2022ex4-5_tizianalife.htm" TargetMode="External"/><Relationship Id="rId190" Type="http://schemas.openxmlformats.org/officeDocument/2006/relationships/hyperlink" Target="https://www.sec.gov/Archives/edgar/data/1723069/000121390019005736/f20f2018ex4-7_tizianalife.htm" TargetMode="External"/><Relationship Id="rId191" Type="http://schemas.openxmlformats.org/officeDocument/2006/relationships/hyperlink" Target="http://www.sec.gov/Archives/edgar/data/1723069/000121390019014612/ff12019ex10-9_tiziana.htm" TargetMode="External"/><Relationship Id="rId192" Type="http://schemas.openxmlformats.org/officeDocument/2006/relationships/hyperlink" Target="http://www.sec.gov/Archives/edgar/data/1723069/000121390018011631/ff12018a1ex10-10_tiziana.htm" TargetMode="External"/><Relationship Id="rId193" Type="http://schemas.openxmlformats.org/officeDocument/2006/relationships/hyperlink" Target="http://www.sec.gov/Archives/edgar/data/1723069/000121390021053952/ea149115ex10-3_tizianalife.htm" TargetMode="External"/><Relationship Id="rId194" Type="http://schemas.openxmlformats.org/officeDocument/2006/relationships/hyperlink" Target="http://www.sec.gov/Archives/edgar/data/1723069/000121390025040218/ea023955901ex19-1_tiziana.htm" TargetMode="External"/><Relationship Id="rId195" Type="http://schemas.openxmlformats.org/officeDocument/2006/relationships/hyperlink" Target="http://www.sec.gov/Archives/edgar/data/1723069/000121390024041808/ea020387201ex97_tizian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2026-05-01T16:15:07Z</dcterms:created>
  <dcterms:modified xsi:type="dcterms:W3CDTF">2026-05-01T16:15:07Z</dcterms:modified>
</cp:coreProperties>
</file>