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087-6k_tiziana.htm"/>
      <w:bookmarkStart w:id="1" w:name="ksea0306087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the last patient has completed their last visit in the Company’s Phase 2a clinical trial evaluating intranasal foralumab in patients with non-active Secondary Progressive Multiple Sclerosis (na-SPMS).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135"/>
        <w:gridCol w:w="365"/>
        <w:gridCol w:w="590"/>
        <w:gridCol w:w="189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8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Keeren Shah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28" w:type="dxa"/>
          <w:right w:w="0" w:type="dxa"/>
        </w:tblCellMar>
      </w:tblPr>
      <w:tblGrid>
        <w:gridCol w:w="995"/>
        <w:gridCol w:w="60"/>
        <w:gridCol w:w="552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5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CCEEFF" w:val="clear"/>
            <w:tcMar>
              <w:bottom w:w="0" w:type="dxa"/>
            </w:tcMar>
            <w:vAlign w:val="center"/>
          </w:tcPr>
          <w:p>
            <w:pPr>
              <w:pStyle w:val="TableContents"/>
              <w:bidi w:val="0"/>
              <w:spacing w:before="0" w:after="283"/>
              <w:jc w:val="left"/>
              <w:rPr/>
            </w:pPr>
            <w:hyperlink w:anchor="ea030608701ex99-1.htm">
              <w:r>
                <w:rPr>
                  <w:rStyle w:val="InternetLink"/>
                  <w:rFonts w:ascii="Times New Roman;Times;Serif" w:hAnsi="Times New Roman;Times;Serif"/>
                  <w:b w:val="false"/>
                  <w:i w:val="false"/>
                  <w:caps w:val="false"/>
                  <w:smallCaps w:val="false"/>
                  <w:sz w:val="20"/>
                </w:rPr>
                <w:t>Tiziana Life Sciences LTD Press Release, dated September 21,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08701ex99-1.htm"/>
      <w:bookmarkStart w:id="3" w:name="ksea030608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Announces Last Patient Completes Last Visit in Phase 2a INFORM-MS Trial of Intranasal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September 21,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the last patient has completed their last visit in the Company’s Phase 2a clinical trial evaluating intranasal foralumab in patients with non-active Secondary Progressive Multiple Sclerosis (na-SPMS).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randomized, double-blind, placebo-controlled Phase 2a trial, known as INFORM-MS (NCT06292923), enrolled a total of 48 patients across three cohorts at multiple leading U.S. clinical sites. The study is evaluating the safety, tolerability, and efficacy of two doses of intranasal foralumab versus placebo over a 12-week treatment period, with the primary endpoint focused on change in microglial activation as measured by positron emission tomography (PET) imaging, along with secondary clinical endpoints including the Expanded Disability Status Scale (EDSS) and the Modified Fatigue Impact Scale (MFIS). Tiziana expects to lock the database this week, and announce 12-week treatment topline data in October.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blinded phase, all participants, including those who initially received placebo, have the opportunity to receive intranasal foralumab in a six-month follow on open-label extension (OLE). The OLE is designed to generate longer term safety and efficacy data. Encouragingly, data from the Company’s Expanded Access Program in na-SPMS have shown that most patients treated with intranasal foralumab either stabilized or improved in clinical outcomes over an extended treatment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congratulate the entire Tiziana team, our clinical investigators, study sites, and most importantly the patients and their families who made this milestone possible,” said Ivor Elrifi, Chief Executive Officer of Tiziana Life Sciences. “Completing the last patient last visit in our Phase 2a INFORM-MS trial is a significant achievement. The dedication and hard work of everyone involved have brought us to this important point in the development of intranasal foralumab for patients living with na-SPMS, a condition with unmet medical need. We look forward to unblinding and presenting the topline data next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615" w:type="dxa"/>
        <w:jc w:val="left"/>
        <w:tblInd w:w="0" w:type="dxa"/>
        <w:tblLayout w:type="fixed"/>
        <w:tblCellMar>
          <w:top w:w="0" w:type="dxa"/>
          <w:left w:w="0" w:type="dxa"/>
          <w:bottom w:w="0" w:type="dxa"/>
          <w:right w:w="0" w:type="dxa"/>
        </w:tblCellMar>
      </w:tblPr>
      <w:tblGrid>
        <w:gridCol w:w="260"/>
        <w:gridCol w:w="43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https://www.pnas.org/doi/10.1073/pnas.2220272120</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may be “forward-looking statements” within the meaning of Section 27A of the U.S. Securities Act of 1933, as amended, and Section 21E of the U.S. Securities Exchange Act of 1934, as amended, that concern matters that involve risks and uncertainties that could cause actual results to differ materially from those anticipated or projected in the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forward-looking statements reflect the current beliefs and expectations of Tiziana’s management and include statements regarding the closing of the Offering. 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 from time to time. The forward-looking statements made in this announcement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1279</Words>
  <Characters>7672</Characters>
  <CharactersWithSpaces>8987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