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March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0001723069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Tiziana Life Sciences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202124"/>
        </w:rPr>
        <w:t>9</w:t>
      </w:r>
      <w:r>
        <w:rPr>
          <w:rFonts w:ascii="Arial" w:cs="Arial" w:eastAsia="Arial" w:hAnsi="Arial"/>
          <w:sz w:val="29"/>
          <w:szCs w:val="29"/>
          <w:b w:val="1"/>
          <w:bCs w:val="1"/>
          <w:color w:val="202124"/>
          <w:vertAlign w:val="superscript"/>
        </w:rPr>
        <w:t>th</w:t>
      </w:r>
      <w:r>
        <w:rPr>
          <w:rFonts w:ascii="Arial" w:cs="Arial" w:eastAsia="Arial" w:hAnsi="Arial"/>
          <w:sz w:val="18"/>
          <w:szCs w:val="18"/>
          <w:b w:val="1"/>
          <w:bCs w:val="1"/>
          <w:color w:val="202124"/>
        </w:rPr>
        <w:t xml:space="preserve"> Floor</w:t>
      </w:r>
    </w:p>
    <w:p>
      <w:pPr>
        <w:jc w:val="center"/>
        <w:ind w:right="-1100"/>
        <w:spacing w:after="0"/>
        <w:rPr>
          <w:sz w:val="20"/>
          <w:szCs w:val="20"/>
          <w:color w:val="auto"/>
        </w:rPr>
      </w:pPr>
      <w:r>
        <w:rPr>
          <w:rFonts w:ascii="Arial" w:cs="Arial" w:eastAsia="Arial" w:hAnsi="Arial"/>
          <w:sz w:val="18"/>
          <w:szCs w:val="18"/>
          <w:b w:val="1"/>
          <w:bCs w:val="1"/>
          <w:color w:val="202124"/>
        </w:rPr>
        <w:t>107 Cheapside</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202124"/>
        </w:rPr>
        <w:t>London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202124"/>
        </w:rPr>
        <w:t>EC2V 6DN</w:t>
      </w:r>
    </w:p>
    <w:p>
      <w:pPr>
        <w:spacing w:after="0" w:line="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2022, Tiziana Life Sciences LTD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news service announcement in the United States announcing StemPrintER Demonstrates Prognostic Utility in TransATAC Cohort.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Announcement is furnished herewith as Exhibit 99.1 to this Report on Form 6-K. The information in the attached Exhibit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TIZIANA LIFE SCIENCES LTD</w:t>
      </w:r>
    </w:p>
    <w:p>
      <w:pPr>
        <w:spacing w:after="0" w:line="200" w:lineRule="exact"/>
        <w:rPr>
          <w:sz w:val="20"/>
          <w:szCs w:val="20"/>
          <w:color w:val="auto"/>
        </w:rPr>
      </w:pPr>
    </w:p>
    <w:p>
      <w:pPr>
        <w:spacing w:after="0" w:line="218"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Kunwar Shailubhai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Kunwar Shailubhai</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15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720" w:type="dxa"/>
            <w:vAlign w:val="bottom"/>
          </w:tcPr>
          <w:p>
            <w:pPr>
              <w:spacing w:after="0"/>
              <w:rPr>
                <w:sz w:val="24"/>
                <w:szCs w:val="24"/>
                <w:color w:val="auto"/>
              </w:rPr>
            </w:pPr>
          </w:p>
        </w:tc>
        <w:tc>
          <w:tcPr>
            <w:tcW w:w="6280" w:type="dxa"/>
            <w:vAlign w:val="bottom"/>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6280" w:type="dxa"/>
            <w:vAlign w:val="bottom"/>
            <w:tcBorders>
              <w:top w:val="single" w:sz="8" w:color="auto"/>
            </w:tcBorders>
          </w:tcPr>
          <w:p>
            <w:pPr>
              <w:spacing w:after="0"/>
              <w:rPr>
                <w:sz w:val="17"/>
                <w:szCs w:val="17"/>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00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News Service Announcement, dated March 1, 2022</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720" w:type="dxa"/>
            <w:vAlign w:val="bottom"/>
            <w:tcBorders>
              <w:top w:val="single" w:sz="8" w:color="0000EE"/>
              <w:bottom w:val="single" w:sz="8" w:color="auto"/>
            </w:tcBorders>
          </w:tcPr>
          <w:p>
            <w:pPr>
              <w:spacing w:after="0"/>
              <w:rPr>
                <w:sz w:val="24"/>
                <w:szCs w:val="24"/>
                <w:color w:val="auto"/>
              </w:rPr>
            </w:pPr>
          </w:p>
        </w:tc>
        <w:tc>
          <w:tcPr>
            <w:tcW w:w="6280" w:type="dxa"/>
            <w:vAlign w:val="bottom"/>
            <w:tcBorders>
              <w:top w:val="single" w:sz="8" w:color="CCEEFF"/>
              <w:bottom w:val="single" w:sz="8" w:color="auto"/>
            </w:tcBorders>
          </w:tcPr>
          <w:p>
            <w:pPr>
              <w:jc w:val="right"/>
              <w:ind w:right="54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StemPrintER Demonstrates Prognostic Utility in TransATAC Cohort</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March 1, 2022 </w:t>
      </w:r>
      <w:r>
        <w:rPr>
          <w:rFonts w:ascii="Arial" w:cs="Arial" w:eastAsia="Arial" w:hAnsi="Arial"/>
          <w:sz w:val="18"/>
          <w:szCs w:val="18"/>
          <w:color w:val="auto"/>
        </w:rPr>
        <w:t>- Tiziana Life Sciences Ltd.’s (Nasdaq: TLSA) former subsidiary, AccuStem Sciences, Inc. (OTC PINK: ACMSY)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AccuStem Sciences Ltd.), today announced publication of new data in the European Journal of Cancer. Results demonstrate that StemPrintER is highly prognostic for risk of distant recurrence in women with breast cancer.</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Investigators from the European Institute of Oncology (IEO) in Milan and The Royal Marsden Hospital in London evaluated 776 tumor samples from the TransATAC cohort, a subgroup of estrogen receptor positive (ER+), post-menopausal patients from the prospective, randomized ATAC trial. The pivotal TransATAC study has been used to evaluate many of the commonly used breast cancer risk scoring assays, including OncotypeDX, Prosigna, EndoPredict and Breast Cancer Index.</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this analysis, investigators demonstrated that patients with a StemPrintER Risk Score (SPRS) Low result had significantly better outcomes than patients with a SPRS High result. Patients with a SPRS Low result had a 5.8% risk of distant recurrence at 10 years versus 23.2% risk of distant recurrence in patients with a SPRS High result.</w:t>
      </w:r>
      <w:r>
        <w:rPr>
          <w:rFonts w:ascii="Arial" w:cs="Arial" w:eastAsia="Arial" w:hAnsi="Arial"/>
          <w:sz w:val="29"/>
          <w:szCs w:val="29"/>
          <w:color w:val="auto"/>
          <w:vertAlign w:val="superscript"/>
        </w:rPr>
        <w:t>1</w:t>
      </w:r>
    </w:p>
    <w:p>
      <w:pPr>
        <w:spacing w:after="0" w:line="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“Many genomic classifiers have been evaluated in the TransATAC cohort,” said Salvatore Pece, Full Professor at the Milan University Medical School and Director of the Hormone-Related Cancers and Stem Cell Pathobiology Lab at IEO. “It is exciting that StemPrintER appears to perform as well as other commercially-available tests and indicates the potential for this novel test to inform clinical decision making.”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Forward-looking statements reflect our current view about future events. When used in this press release, the words “anticipate,” “believe,” “estimate,” “expect,” “future,” “intend,” “plan,” or the negative of these terms and similar expressions, as they relate to us or our management, identify forward-looking statements. Such statements, include, but are not limited to, statements contained in this press release relating to our business strategy, our future operating results and liquidity and capital resources outlook.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of assurance of future performance. We caution you therefore against relying on any of these forward-looking statements. Important factors that could cause actual results to differ materially from those in the forward-looking statements include, without limitation, our ability to raise capital to fund continuing operations; our ability to protect our intellectual property rights; the impact of any infringement actions or other litigation brought against us; competition from other providers and products; our ability to develop and commercialize products and services; changes in government regulation; our ability to complete capital raising transactions; and other factors relating to our industry, our operations and results of operations. Actual results may differ significantly from those anticipated, believed, estimated, expected, intended or planned.</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Factors or events that could cause our actual results to differ may emerge from time to time, and it is not possible for us to predict all of them. We cannot guarantee future results, levels of activity, performance or achievements. Tiziana Life Sciences Ltd. assumes no obligation to update any forward-looking statements in order to reflect any event or circumstance that may arise after the date of this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Tiziana Life Sciences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Hana Malik, Business Development, and Investor Relations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info@tizianalifesciences.com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Irina Koffler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646.970.4681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ikoffler@lifesciadvisors.com</w:t>
      </w:r>
    </w:p>
    <w:p>
      <w:pPr>
        <w:spacing w:after="0" w:line="211" w:lineRule="exact"/>
        <w:rPr>
          <w:sz w:val="20"/>
          <w:szCs w:val="20"/>
          <w:color w:val="auto"/>
        </w:rPr>
      </w:pPr>
    </w:p>
    <w:p>
      <w:pPr>
        <w:jc w:val="both"/>
        <w:ind w:left="660" w:hanging="328"/>
        <w:spacing w:after="0" w:line="31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Pece, S., Sestak, I., Montani, F., Tillhon, M., Maisonneuve, P., Freddi, S., Chu, K., Colleoni, M., Veronesi, P., Disalvatore, D., Viale, G., Buus, R., Cuzick, J., Dowsett, M., &amp; Di Fiore, P. P. (2022). Comparison of stemprinter with Oncotype DX recurrence score for predicting risk of breast cancer distant recurrence after endocrine therapy. </w:t>
      </w:r>
      <w:r>
        <w:rPr>
          <w:rFonts w:ascii="Arial" w:cs="Arial" w:eastAsia="Arial" w:hAnsi="Arial"/>
          <w:sz w:val="16"/>
          <w:szCs w:val="16"/>
          <w:i w:val="1"/>
          <w:iCs w:val="1"/>
          <w:color w:val="auto"/>
        </w:rPr>
        <w:t>European Journal of Cancer</w:t>
      </w:r>
      <w:r>
        <w:rPr>
          <w:rFonts w:ascii="Arial" w:cs="Arial" w:eastAsia="Arial" w:hAnsi="Arial"/>
          <w:sz w:val="16"/>
          <w:szCs w:val="16"/>
          <w:color w:val="auto"/>
        </w:rPr>
        <w:t xml:space="preserve">, </w:t>
      </w:r>
      <w:r>
        <w:rPr>
          <w:rFonts w:ascii="Arial" w:cs="Arial" w:eastAsia="Arial" w:hAnsi="Arial"/>
          <w:sz w:val="16"/>
          <w:szCs w:val="16"/>
          <w:i w:val="1"/>
          <w:iCs w:val="1"/>
          <w:color w:val="auto"/>
        </w:rPr>
        <w:t>164</w:t>
      </w:r>
      <w:r>
        <w:rPr>
          <w:rFonts w:ascii="Arial" w:cs="Arial" w:eastAsia="Arial" w:hAnsi="Arial"/>
          <w:sz w:val="16"/>
          <w:szCs w:val="16"/>
          <w:color w:val="auto"/>
        </w:rPr>
        <w:t>, 52–61. https://doi.org/10.1016/j.ejca.2022.01.003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2022-03-01T11:58:34Z</dcterms:created>
  <dcterms:modified xsi:type="dcterms:W3CDTF">2022-03-01T11:58:34Z</dcterms:modified>
</cp:coreProperties>
</file>