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ea0298845-6k_tiziana.htm"/>
      <w:bookmarkStart w:id="1" w:name="ksea02988456k_tiziana"/>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2026</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001-38723</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02124"/>
          <w:sz w:val="20"/>
          <w:shd w:fill="FFFFFF" w:val="clear"/>
        </w:rPr>
      </w:pPr>
      <w:r>
        <w:rPr>
          <w:rFonts w:ascii="Times New Roman;Times;Serif" w:hAnsi="Times New Roman;Times;Serif"/>
          <w:b/>
          <w:i w:val="false"/>
          <w:caps w:val="false"/>
          <w:smallCaps w:val="false"/>
          <w:color w:val="202124"/>
          <w:sz w:val="20"/>
          <w:shd w:fill="FFFFFF" w:val="clear"/>
        </w:rPr>
        <w:t>9</w:t>
      </w:r>
      <w:r>
        <w:rPr>
          <w:rFonts w:ascii="Times New Roman;Times;Serif" w:hAnsi="Times New Roman;Times;Serif"/>
          <w:b/>
          <w:i w:val="false"/>
          <w:caps w:val="false"/>
          <w:smallCaps w:val="false"/>
          <w:color w:val="202124"/>
          <w:position w:val="7"/>
          <w:sz w:val="16"/>
          <w:sz w:val="20"/>
          <w:shd w:fill="FFFFFF" w:val="clear"/>
        </w:rPr>
        <w:t>th</w:t>
      </w:r>
      <w:r>
        <w:rPr>
          <w:rFonts w:ascii="Times New Roman;Times;Serif" w:hAnsi="Times New Roman;Times;Serif"/>
          <w:b/>
          <w:i w:val="false"/>
          <w:caps w:val="false"/>
          <w:smallCaps w:val="false"/>
          <w:color w:val="202124"/>
          <w:sz w:val="20"/>
          <w:shd w:fill="FFFFFF" w:val="clear"/>
        </w:rPr>
        <w:t> Floor</w:t>
      </w:r>
    </w:p>
    <w:p>
      <w:pPr>
        <w:pStyle w:val="TextBody"/>
        <w:bidi w:val="0"/>
        <w:spacing w:before="0" w:after="0"/>
        <w:jc w:val="center"/>
        <w:rPr>
          <w:rFonts w:ascii="Times New Roman;Times;Serif" w:hAnsi="Times New Roman;Times;Serif"/>
          <w:b/>
          <w:i w:val="false"/>
          <w:caps w:val="false"/>
          <w:smallCaps w:val="false"/>
          <w:color w:val="202124"/>
          <w:sz w:val="20"/>
          <w:shd w:fill="FFFFFF" w:val="clear"/>
        </w:rPr>
      </w:pPr>
      <w:r>
        <w:rPr>
          <w:rFonts w:ascii="Times New Roman;Times;Serif" w:hAnsi="Times New Roman;Times;Serif"/>
          <w:b/>
          <w:i w:val="false"/>
          <w:caps w:val="false"/>
          <w:smallCaps w:val="false"/>
          <w:color w:val="202124"/>
          <w:sz w:val="20"/>
          <w:shd w:fill="FFFFFF" w:val="clear"/>
        </w:rPr>
        <w:t>107 Cheapside</w:t>
      </w:r>
    </w:p>
    <w:p>
      <w:pPr>
        <w:pStyle w:val="TextBody"/>
        <w:bidi w:val="0"/>
        <w:spacing w:before="0" w:after="0"/>
        <w:jc w:val="center"/>
        <w:rPr>
          <w:rFonts w:ascii="Times New Roman;Times;Serif" w:hAnsi="Times New Roman;Times;Serif"/>
          <w:b/>
          <w:i w:val="false"/>
          <w:caps w:val="false"/>
          <w:smallCaps w:val="false"/>
          <w:color w:val="202124"/>
          <w:sz w:val="20"/>
          <w:shd w:fill="FFFFFF" w:val="clear"/>
        </w:rPr>
      </w:pPr>
      <w:r>
        <w:rPr>
          <w:rFonts w:ascii="Times New Roman;Times;Serif" w:hAnsi="Times New Roman;Times;Serif"/>
          <w:b/>
          <w:i w:val="false"/>
          <w:caps w:val="false"/>
          <w:smallCaps w:val="false"/>
          <w:color w:val="202124"/>
          <w:sz w:val="20"/>
          <w:shd w:fill="FFFFFF" w:val="clear"/>
        </w:rPr>
        <w:t xml:space="preserve">London </w:t>
      </w:r>
    </w:p>
    <w:p>
      <w:pPr>
        <w:pStyle w:val="TextBody"/>
        <w:bidi w:val="0"/>
        <w:spacing w:before="0" w:after="0"/>
        <w:jc w:val="center"/>
        <w:rPr>
          <w:rFonts w:ascii="Times New Roman;Times;Serif" w:hAnsi="Times New Roman;Times;Serif"/>
          <w:b/>
          <w:i w:val="false"/>
          <w:caps w:val="false"/>
          <w:smallCaps w:val="false"/>
          <w:color w:val="202124"/>
          <w:sz w:val="20"/>
          <w:shd w:fill="FFFFFF" w:val="clear"/>
        </w:rPr>
      </w:pPr>
      <w:r>
        <w:rPr>
          <w:rFonts w:ascii="Times New Roman;Times;Serif" w:hAnsi="Times New Roman;Times;Serif"/>
          <w:b/>
          <w:i w:val="false"/>
          <w:caps w:val="false"/>
          <w:smallCaps w:val="false"/>
          <w:color w:val="202124"/>
          <w:sz w:val="20"/>
          <w:shd w:fill="FFFFFF" w:val="clear"/>
        </w:rPr>
        <w:t>EC2V 6DN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that its Executive Chairman and Founder, Mr. Gabriele Cerrone, through Panetta Partners Ltd, an entity in which he has a beneficial interest, has increased his holdings with the purchase of 42,357 common shares at $0.99 per share, bringing his total holding to 44,814,587 common shares, which is 34.93% of issued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49" w:type="dxa"/>
        <w:jc w:val="left"/>
        <w:tblInd w:w="0" w:type="dxa"/>
        <w:tblLayout w:type="fixed"/>
        <w:tblCellMar>
          <w:top w:w="0" w:type="dxa"/>
          <w:left w:w="0" w:type="dxa"/>
          <w:bottom w:w="0" w:type="dxa"/>
          <w:right w:w="0" w:type="dxa"/>
        </w:tblCellMar>
      </w:tblPr>
      <w:tblGrid>
        <w:gridCol w:w="1625"/>
        <w:gridCol w:w="322"/>
        <w:gridCol w:w="594"/>
        <w:gridCol w:w="1908"/>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2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594" w:type="dxa"/>
            <w:tcBorders/>
            <w:vAlign w:val="center"/>
          </w:tcPr>
          <w:p>
            <w:pPr>
              <w:pStyle w:val="TableContents"/>
              <w:bidi w:val="0"/>
              <w:spacing w:before="0" w:after="283"/>
              <w:jc w:val="left"/>
              <w:rPr>
                <w:caps w:val="false"/>
                <w:smallCaps w:val="false"/>
              </w:rPr>
            </w:pPr>
            <w:r>
              <w:rPr>
                <w:caps w:val="false"/>
                <w:smallCaps w:val="false"/>
              </w:rPr>
              <w:t> </w:t>
            </w:r>
          </w:p>
        </w:tc>
        <w:tc>
          <w:tcPr>
            <w:tcW w:w="190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22, 2026</w:t>
            </w:r>
          </w:p>
        </w:tc>
        <w:tc>
          <w:tcPr>
            <w:tcW w:w="3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02"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Keeren Shah</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5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Keeren Shah</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2" w:type="dxa"/>
            <w:tcBorders/>
            <w:vAlign w:val="center"/>
          </w:tcPr>
          <w:p>
            <w:pPr>
              <w:pStyle w:val="TableContents"/>
              <w:bidi w:val="0"/>
              <w:spacing w:before="0" w:after="283"/>
              <w:jc w:val="left"/>
              <w:rPr>
                <w:caps w:val="false"/>
                <w:smallCaps w:val="false"/>
              </w:rPr>
            </w:pPr>
            <w:r>
              <w:rPr>
                <w:caps w:val="false"/>
                <w:smallCaps w:val="false"/>
              </w:rPr>
              <w:t> </w:t>
            </w:r>
          </w:p>
        </w:tc>
        <w:tc>
          <w:tcPr>
            <w:tcW w:w="5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6070" w:type="dxa"/>
        <w:jc w:val="left"/>
        <w:tblInd w:w="0" w:type="dxa"/>
        <w:tblLayout w:type="fixed"/>
        <w:tblCellMar>
          <w:top w:w="0" w:type="dxa"/>
          <w:left w:w="0" w:type="dxa"/>
          <w:bottom w:w="28" w:type="dxa"/>
          <w:right w:w="0" w:type="dxa"/>
        </w:tblCellMar>
      </w:tblPr>
      <w:tblGrid>
        <w:gridCol w:w="995"/>
        <w:gridCol w:w="60"/>
        <w:gridCol w:w="50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shd w:fill="CCEEFF" w:val="clear"/>
            <w:tcMar>
              <w:bottom w:w="0" w:type="dxa"/>
            </w:tcMar>
            <w:vAlign w:val="center"/>
          </w:tcPr>
          <w:p>
            <w:pPr>
              <w:pStyle w:val="TableContents"/>
              <w:bidi w:val="0"/>
              <w:spacing w:before="0" w:after="283"/>
              <w:jc w:val="left"/>
              <w:rPr/>
            </w:pPr>
            <w:hyperlink w:anchor="ea029884501ex99-1.htm">
              <w:r>
                <w:rPr>
                  <w:rStyle w:val="InternetLink"/>
                  <w:rFonts w:ascii="Times New Roman;Times;Serif" w:hAnsi="Times New Roman;Times;Serif"/>
                  <w:b w:val="false"/>
                  <w:i w:val="false"/>
                  <w:caps w:val="false"/>
                  <w:smallCaps w:val="false"/>
                  <w:sz w:val="20"/>
                </w:rPr>
                <w:t>Tiziana Life Sciences LTD Press Release, dated July 22,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84501ex99-1.htm"/>
      <w:bookmarkStart w:id="3" w:name="ksea0298845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6477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Announces Purchase of Shares by Executive Chairman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July 22,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announces that its Executive Chairman and Founder, Mr. Gabriele Cerrone, through Panetta Partners Ltd, an entity in which he has a beneficial interest, has increased his holdings with the purchase of 42,357 common shares at $0.99 per share, bringing his total holding to 44,814,587 common shares, which is 34.93% of issued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207 495 2379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info@tizianalifesciences.com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615" w:type="dxa"/>
        <w:jc w:val="left"/>
        <w:tblInd w:w="0" w:type="dxa"/>
        <w:tblLayout w:type="fixed"/>
        <w:tblCellMar>
          <w:top w:w="0" w:type="dxa"/>
          <w:left w:w="0" w:type="dxa"/>
          <w:bottom w:w="0" w:type="dxa"/>
          <w:right w:w="0" w:type="dxa"/>
        </w:tblCellMar>
      </w:tblPr>
      <w:tblGrid>
        <w:gridCol w:w="260"/>
        <w:gridCol w:w="43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https://www.pnas.org/doi/10.1073/pnas.2220272120</w:t>
            </w:r>
          </w:p>
        </w:tc>
      </w:tr>
    </w:tbl>
    <w:tbl>
      <w:tblPr>
        <w:tblW w:w="4615" w:type="dxa"/>
        <w:jc w:val="left"/>
        <w:tblInd w:w="0" w:type="dxa"/>
        <w:tblLayout w:type="fixed"/>
        <w:tblCellMar>
          <w:top w:w="0" w:type="dxa"/>
          <w:left w:w="0" w:type="dxa"/>
          <w:bottom w:w="0" w:type="dxa"/>
          <w:right w:w="0" w:type="dxa"/>
        </w:tblCellMar>
      </w:tblPr>
      <w:tblGrid>
        <w:gridCol w:w="260"/>
        <w:gridCol w:w="43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https://www.pnas.org/doi/10.1073/pnas.2309221120</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703</Words>
  <Characters>4176</Characters>
  <CharactersWithSpaces>4901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