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CERRONE GABRIELE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14-15 CONDUIT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W1S2XJ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Tiziana Life Sciences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6"/>
        <w:gridCol w:w="899"/>
        <w:gridCol w:w="771"/>
        <w:gridCol w:w="597"/>
        <w:gridCol w:w="340"/>
        <w:gridCol w:w="908"/>
        <w:gridCol w:w="432"/>
        <w:gridCol w:w="651"/>
        <w:gridCol w:w="1338"/>
        <w:gridCol w:w="968"/>
        <w:gridCol w:w="96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42,357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0.99</w:t>
            </w:r>
          </w:p>
        </w:tc>
        <w:tc>
          <w:tcPr>
            <w:tcW w:w="1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44,814,587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Via Panetta Partners Limited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Gabriele M. Cerrone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39306" TargetMode="External"/><Relationship Id="rId5" Type="http://schemas.openxmlformats.org/officeDocument/2006/relationships/hyperlink" Target="http://www.sec.gov/cgi-bin/browse-edgar?action=getcompany&amp;CIK=0001723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3087</Characters>
  <CharactersWithSpaces>3587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