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CERRONE GABRIELE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14-15 CONDUIT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W1S2XJ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Tiziana Life Sciences Ltd</w:t>
              </w:r>
            </w:hyperlink>
            <w:r>
              <w:rPr/>
              <w:t xml:space="preserve"> [ </w:t>
            </w:r>
            <w:r>
              <w:rPr>
                <w:rFonts w:ascii="Times;serif" w:hAnsi="Times;serif"/>
                <w:color w:val="0000FF"/>
                <w:sz w:val="24"/>
                <w:shd w:fill="FFFFFF" w:val="clear"/>
              </w:rPr>
              <w:t>TLSA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07/23/2026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6"/>
        <w:gridCol w:w="899"/>
        <w:gridCol w:w="771"/>
        <w:gridCol w:w="597"/>
        <w:gridCol w:w="340"/>
        <w:gridCol w:w="908"/>
        <w:gridCol w:w="432"/>
        <w:gridCol w:w="651"/>
        <w:gridCol w:w="1338"/>
        <w:gridCol w:w="968"/>
        <w:gridCol w:w="9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42,357</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44,814,587</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Via Panetta Partners Limited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Form 4 filed on June 23, 2026 solely to correct the date of the earliest transaction and the transaction code associated with this open market purchase. No other reported transactions are affected by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Gabriele M. Cerrone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9306" TargetMode="External"/><Relationship Id="rId5" Type="http://schemas.openxmlformats.org/officeDocument/2006/relationships/hyperlink" Target="http://www.sec.gov/cgi-bin/browse-edgar?action=getcompany&amp;CIK=0001723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3306</Characters>
  <CharactersWithSpaces>3846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