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8865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8865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0" w:gutter="0" w:footer="0" w:header="0"/>
        </w:sectPr>
      </w:pP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3"/>
          <w:szCs w:val="23"/>
          <w:color w:val="auto"/>
          <w:vertAlign w:val="superscript"/>
        </w:rPr>
        <w:t>*</w:t>
      </w:r>
    </w:p>
    <w:p>
      <w:pPr>
        <w:ind w:left="140"/>
        <w:spacing w:after="0"/>
        <w:rPr>
          <w:rFonts w:ascii="Times New Roman" w:cs="Times New Roman" w:eastAsia="Times New Roman" w:hAnsi="Times New Roman"/>
          <w:sz w:val="23"/>
          <w:szCs w:val="23"/>
          <w:u w:val="single" w:color="auto"/>
          <w:color w:val="0000EE"/>
        </w:rPr>
      </w:pPr>
      <w:hyperlink r:id="rId10">
        <w:r>
          <w:rPr>
            <w:rFonts w:ascii="Times New Roman" w:cs="Times New Roman" w:eastAsia="Times New Roman" w:hAnsi="Times New Roman"/>
            <w:sz w:val="23"/>
            <w:szCs w:val="23"/>
            <w:u w:val="single" w:color="auto"/>
            <w:color w:val="0000EE"/>
          </w:rPr>
          <w:t>Shah Keeren Rameshchandra</w:t>
        </w:r>
      </w:hyperlink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firstLine="2"/>
        <w:spacing w:after="0" w:line="256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 of Event Requiring Statement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03/18/2026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3"/>
          <w:szCs w:val="23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3"/>
            <w:szCs w:val="23"/>
            <w:u w:val="single" w:color="auto"/>
            <w:color w:val="0000EE"/>
          </w:rPr>
          <w:t>Tiziana Life Sciences Ltd</w:t>
        </w:r>
        <w:r>
          <w:rPr>
            <w:rFonts w:ascii="Times New Roman" w:cs="Times New Roman" w:eastAsia="Times New Roman" w:hAnsi="Times New Roman"/>
            <w:sz w:val="23"/>
            <w:szCs w:val="23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[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TLSA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]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960" w:space="400"/>
            <w:col w:w="1360" w:space="280"/>
            <w:col w:w="5940"/>
          </w:cols>
          <w:pgMar w:left="480" w:top="230" w:right="479" w:bottom="0" w:gutter="0" w:footer="0" w:header="0"/>
          <w:type w:val="continuous"/>
        </w:sectPr>
      </w:pPr>
    </w:p>
    <w:p>
      <w:pPr>
        <w:spacing w:after="0" w:line="120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 w:right="1137"/>
        <w:spacing w:after="0" w:line="3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C/O TIZIANA LIFE SCIENCES LTD 14-15 CONDUIT STREET</w:t>
      </w: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LONDON</w:t>
        <w:tab/>
        <w:t>X0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W1S 2XJ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center"/>
        <w:ind w:left="-12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CHIEF OPERATING &amp; FIN.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left="-12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0" w:gutter="0" w:footer="0" w:header="0"/>
          <w:type w:val="continuous"/>
        </w:sectPr>
      </w:pP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jc w:val="center"/>
              <w:ind w:lef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2,500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50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68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Options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05/06/2021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05/06/2030</w:t>
            </w:r>
          </w:p>
        </w:tc>
        <w:tc>
          <w:tcPr>
            <w:tcW w:w="1700" w:type="dxa"/>
            <w:vAlign w:val="bottom"/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common stock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15,625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0.88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Options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05/06/2022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05/06/2030</w:t>
            </w:r>
          </w:p>
        </w:tc>
        <w:tc>
          <w:tcPr>
            <w:tcW w:w="1700" w:type="dxa"/>
            <w:vAlign w:val="bottom"/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common stock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15,625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0.88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Options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05/06/2023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05/06/2030</w:t>
            </w:r>
          </w:p>
        </w:tc>
        <w:tc>
          <w:tcPr>
            <w:tcW w:w="1700" w:type="dxa"/>
            <w:vAlign w:val="bottom"/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common stock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15,625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0.88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Options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05/06/2024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05/06/2030</w:t>
            </w:r>
          </w:p>
        </w:tc>
        <w:tc>
          <w:tcPr>
            <w:tcW w:w="1700" w:type="dxa"/>
            <w:vAlign w:val="bottom"/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common stock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15,625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0.88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Options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03/14/2024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03/14/2033</w:t>
            </w:r>
          </w:p>
        </w:tc>
        <w:tc>
          <w:tcPr>
            <w:tcW w:w="1700" w:type="dxa"/>
            <w:vAlign w:val="bottom"/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common stock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46,875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0.57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Options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03/14/2025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03/14/2033</w:t>
            </w:r>
          </w:p>
        </w:tc>
        <w:tc>
          <w:tcPr>
            <w:tcW w:w="1700" w:type="dxa"/>
            <w:vAlign w:val="bottom"/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common stock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46,875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0.57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Options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03/14/2026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03/14/2033</w:t>
            </w:r>
          </w:p>
        </w:tc>
        <w:tc>
          <w:tcPr>
            <w:tcW w:w="1700" w:type="dxa"/>
            <w:vAlign w:val="bottom"/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common stock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46,875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0.57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Options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03/14/2027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03/14/2033</w:t>
            </w:r>
          </w:p>
        </w:tc>
        <w:tc>
          <w:tcPr>
            <w:tcW w:w="1700" w:type="dxa"/>
            <w:vAlign w:val="bottom"/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common stock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46,875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0.57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Options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03/13/2025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03/13/2034</w:t>
            </w:r>
          </w:p>
        </w:tc>
        <w:tc>
          <w:tcPr>
            <w:tcW w:w="1700" w:type="dxa"/>
            <w:vAlign w:val="bottom"/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common stock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83,333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0.5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Options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03/13/2026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03/13/2034</w:t>
            </w:r>
          </w:p>
        </w:tc>
        <w:tc>
          <w:tcPr>
            <w:tcW w:w="1700" w:type="dxa"/>
            <w:vAlign w:val="bottom"/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common stock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83,334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0.5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Options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03/13/2027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03/13/2034</w:t>
            </w:r>
          </w:p>
        </w:tc>
        <w:tc>
          <w:tcPr>
            <w:tcW w:w="1700" w:type="dxa"/>
            <w:vAlign w:val="bottom"/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common stock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83,333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0.5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Options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08/03/2026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10/03/2034</w:t>
            </w:r>
          </w:p>
        </w:tc>
        <w:tc>
          <w:tcPr>
            <w:tcW w:w="1700" w:type="dxa"/>
            <w:vAlign w:val="bottom"/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common stock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125,000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0.82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Options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08/03/2027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10/03/2034</w:t>
            </w:r>
          </w:p>
        </w:tc>
        <w:tc>
          <w:tcPr>
            <w:tcW w:w="1700" w:type="dxa"/>
            <w:vAlign w:val="bottom"/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common stock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125,000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0.82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Options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08/03/2028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10/03/2034</w:t>
            </w:r>
          </w:p>
        </w:tc>
        <w:tc>
          <w:tcPr>
            <w:tcW w:w="1700" w:type="dxa"/>
            <w:vAlign w:val="bottom"/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common stock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125,000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0.82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Options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04/03/2026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10/03/2034</w:t>
            </w:r>
          </w:p>
        </w:tc>
        <w:tc>
          <w:tcPr>
            <w:tcW w:w="1700" w:type="dxa"/>
            <w:vAlign w:val="bottom"/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common stock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125,000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0.82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Options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09/04/2026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09/04/2035</w:t>
            </w:r>
          </w:p>
        </w:tc>
        <w:tc>
          <w:tcPr>
            <w:tcW w:w="1700" w:type="dxa"/>
            <w:vAlign w:val="bottom"/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common stock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12,500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1.58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Options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09/04/2027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09/04/2035</w:t>
            </w:r>
          </w:p>
        </w:tc>
        <w:tc>
          <w:tcPr>
            <w:tcW w:w="1700" w:type="dxa"/>
            <w:vAlign w:val="bottom"/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common stock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12,500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1.58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0940"/>
          </w:cols>
          <w:pgMar w:left="480" w:top="230" w:right="47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292100</wp:posOffset>
            </wp:positionH>
            <wp:positionV relativeFrom="page">
              <wp:posOffset>88900</wp:posOffset>
            </wp:positionV>
            <wp:extent cx="6972300" cy="1927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192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Beneficially Owned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5"/>
              </w:rPr>
              <w:t>5.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62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Options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09/04/2028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09/04/2035</w:t>
            </w:r>
          </w:p>
        </w:tc>
        <w:tc>
          <w:tcPr>
            <w:tcW w:w="1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12,500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1.58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Options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09/04/2029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09/04/2035</w:t>
            </w:r>
          </w:p>
        </w:tc>
        <w:tc>
          <w:tcPr>
            <w:tcW w:w="1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12,500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1.58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Keeren Shah</w:t>
            </w:r>
          </w:p>
        </w:tc>
        <w:tc>
          <w:tcPr>
            <w:tcW w:w="238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05/22/2026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Reminder: Report on a separate line for each class of securities beneficially owned directly or indirectly.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5"/>
          <w:szCs w:val="15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Instruction 5 (b)(v).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198" w:right="4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0" Type="http://schemas.openxmlformats.org/officeDocument/2006/relationships/hyperlink" Target="http://www.sec.gov/cgi-bin/browse-edgar?action=getcompany&amp;CIK=0002125071" TargetMode="External"/><Relationship Id="rId11" Type="http://schemas.openxmlformats.org/officeDocument/2006/relationships/hyperlink" Target="http://www.sec.gov/cgi-bin/browse-edgar?action=getcompany&amp;CIK=000172306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2026-05-22T16:35:14Z</dcterms:created>
  <dcterms:modified xsi:type="dcterms:W3CDTF">2026-05-22T16:35:14Z</dcterms:modified>
</cp:coreProperties>
</file>