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Elrifi Ivor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TIZIANA LIFE SCIENCES LTD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14-15 CONDUIT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W1S 2XJ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53"/>
        <w:gridCol w:w="1951"/>
        <w:gridCol w:w="1148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3,805,261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32"/>
        <w:gridCol w:w="1222"/>
        <w:gridCol w:w="1125"/>
        <w:gridCol w:w="1252"/>
        <w:gridCol w:w="1142"/>
        <w:gridCol w:w="1258"/>
        <w:gridCol w:w="1218"/>
        <w:gridCol w:w="1356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9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08/15/2028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3,150,000</w:t>
            </w:r>
          </w:p>
        </w:tc>
        <w:tc>
          <w:tcPr>
            <w:tcW w:w="12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</w:p>
        </w:tc>
        <w:tc>
          <w:tcPr>
            <w:tcW w:w="12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1,050,000 RSU's will vest annually over 3 years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Ivor Elrifi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6241" TargetMode="External"/><Relationship Id="rId3" Type="http://schemas.openxmlformats.org/officeDocument/2006/relationships/hyperlink" Target="http://www.sec.gov/cgi-bin/browse-edgar?action=getcompany&amp;CIK=000172306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414</Words>
  <Characters>2308</Characters>
  <CharactersWithSpaces>2666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